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87R4963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31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A renewed school marshal license expires on </w:t>
      </w:r>
      <w:r>
        <w:rPr>
          <w:u w:val="single"/>
        </w:rPr>
        <w:t xml:space="preserve">August 31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as amended by this Act, applies to a license issued or renewed under that section regardless of whether the license was issued or renewed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