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for the exemption from ad valorem taxation of the residence homestead of a totally disabled veteran.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11.131(b),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disabled veteran who </w:t>
      </w:r>
      <w:r>
        <w:rPr>
          <w:u w:val="single"/>
        </w:rPr>
        <w:t xml:space="preserve">has been awarded by</w:t>
      </w:r>
      <w:r>
        <w:t xml:space="preserve"> [</w:t>
      </w:r>
      <w:r>
        <w:rPr>
          <w:strike/>
        </w:rPr>
        <w:t xml:space="preserve">receives from</w:t>
      </w:r>
      <w:r>
        <w:t xml:space="preserve">] the United States Department of Veterans Affairs or its successor 100 percent disability compensation due to a service-connected disability and a rating of 100 percent disabled or of individual unemployability is entitled to an exemption from taxation of the total appraised value of the veteran's residence homestead.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794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April 19,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27, 2021, Senate refused to concur in House amendments and requested appointment of Conference Committee; May 28, 2021, House granted request of the Senate; May 30, 2021, Senate adopted Conference Committee Report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794 passed the House, with amendments, on May 25,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143, Nays</w:t>
      </w:r>
      <w:r xml:space="preserve">
        <w:t> </w:t>
      </w:r>
      <w:r>
        <w:t xml:space="preserve">0, two present not voting; May 28, 2021, House granted request of the Senate for appointment of Conference Committee;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30, 2021, House adopted Conference Committee Report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138,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