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Veteran Affairs &amp; Border Security;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exemption from the requirement that the title of a state agency be printed on state-owned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721.003(a),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bodies of the following state agencies or divisions by rule may exempt from the requirements of Section 721.002 a motor vehicle that is under the control and custody of the agency or division: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Texas Commission on Fire Protection;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State Board of Pharmacy;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Department of State Health Services and Department of Aging and Disability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Department of Public Safety of the State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Board of Pardons and Paroles;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Parks and Wildlife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Railroad Commission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Texas Alcoholic Beverage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Texas Department of Banking;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Department of Savings and Mortgage Lending;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Texas Lottery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the office of the attorney general;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Texas Department of Insurance;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rPr>
          <w:u w:val="single"/>
        </w:rPr>
        <w:t xml:space="preserve">Texas Military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 xml:space="preserve">
        <w:t> </w:t>
      </w:r>
      <w:r xml:space="preserve">
        <w:t> </w:t>
      </w:r>
      <w:r>
        <w:t xml:space="preserve">an agency that receives an appropriation under an article of the General Appropriations Act that appropriates money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