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802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resource access assistance offer before an abortion is performed or induced.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or induced, the physician who is to perform or induce an abortion shall confirm the pregnant woman received a pre-abortion resource access assistance offer, as required by this section, by verifying the unique identifying number, devoid of the woman's personally identifiable information, as provided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as a counselor, doctor,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authorized under a contract with the commission to provide resource access assistance offers and support services on behalf of this state in accordance with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training program on identifying and assisting victims of human trafficking using a standardized curriculum created by the human trafficking prevention task force established under Section 402.035,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medical records privacy laws under Chapter 181;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last two years,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or induced an abortion;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refer a woman to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a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care agent who obtains information that the pregnant woman is a victim of human trafficking or coercion of abortion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appropriate law enforcement agency of the suspected human trafficking or coercion of abortion, if, before submitting the report, the care agent: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 written disclosure to the pregnant woman that the woman's identifying information will be provided in the report;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written disclosure described by Paragraph (A), the pregnant woman consents to the care agent submitting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information on the methods available for the woman to report human trafficking or coercion of abortion to the appropriate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request a unique identifying number, devoid of the pregnant woman's personally identifiable information, from the system developed by the commission to certify that the woman received the resource access assistance offer.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an authentication system that provides the pregnant woman a unique identifying number required under this section.  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care agent to request a unique identifying number for the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physician who is to perform or induce an abortion to verify the unique identifying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identity of an individual pregnant woman, care agent, or physician who is to perform or induce the abortion is not disclosed in the authentication system;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personal information for the pregnant woman, care agent, or physician as soon as the information is not needed to verify the unique identifying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any information to the care agent or contracting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initiate or complete services offered under this section to obtain an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accepting a resource assistance offer, shall retain access to the offer until the second anniversary of the date of acceptance, regardless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or induced on or after April 1, 2023.  An abortion performed or induced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the Act using other appropriations available for the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