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87R9382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and administration of certain vaccines by a home and community support services agency or its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142.0062(a),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home and community support services agency or its employees who are registered nurses or licensed vocational nurses may purchase, store, or transport for the purpose of administering to the agency's employees, home health or hospice patients, or patient family members under physician's standing orders the following dangerous drugs:</w:t>
      </w:r>
    </w:p>
    <w:p w:rsidR="003F3435" w:rsidRDefault="0032493E">
      <w:pPr>
        <w:spacing w:line="480" w:lineRule="auto"/>
        <w:ind w:firstLine="1440"/>
        <w:jc w:val="both"/>
      </w:pPr>
      <w:r>
        <w:t xml:space="preserve">(1)</w:t>
      </w:r>
      <w:r xml:space="preserve">
        <w:t> </w:t>
      </w:r>
      <w:r xml:space="preserve">
        <w:t> </w:t>
      </w:r>
      <w:r>
        <w:t xml:space="preserve">hepatitis B vaccine;</w:t>
      </w:r>
    </w:p>
    <w:p w:rsidR="003F3435" w:rsidRDefault="0032493E">
      <w:pPr>
        <w:spacing w:line="480" w:lineRule="auto"/>
        <w:ind w:firstLine="1440"/>
        <w:jc w:val="both"/>
      </w:pPr>
      <w:r>
        <w:t xml:space="preserve">(2)</w:t>
      </w:r>
      <w:r xml:space="preserve">
        <w:t> </w:t>
      </w:r>
      <w:r xml:space="preserve">
        <w:t> </w:t>
      </w:r>
      <w:r>
        <w:t xml:space="preserve">influenza vaccine;</w:t>
      </w:r>
    </w:p>
    <w:p w:rsidR="003F3435" w:rsidRDefault="0032493E">
      <w:pPr>
        <w:spacing w:line="480" w:lineRule="auto"/>
        <w:ind w:firstLine="1440"/>
        <w:jc w:val="both"/>
      </w:pPr>
      <w:r>
        <w:t xml:space="preserve">(3)</w:t>
      </w:r>
      <w:r xml:space="preserve">
        <w:t> </w:t>
      </w:r>
      <w:r xml:space="preserve">
        <w:t> </w:t>
      </w:r>
      <w:r>
        <w:t xml:space="preserve">tuberculin purified protein derivative for tuberculosis testing;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pneumococcal polysaccharide vaccine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vaccine approved by the United States Food and Drug Administration to treat or mitigate the spread of a communicable disease, as defined by Section 81.003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