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87R8536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825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possessing a weapon in a secured area of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46.03(c)(3), Penal Code, is amended to read as follows:</w:t>
      </w:r>
    </w:p>
    <w:p w:rsidR="003F3435" w:rsidRDefault="0032493E">
      <w:pPr>
        <w:spacing w:line="480" w:lineRule="auto"/>
        <w:ind w:firstLine="1440"/>
        <w:jc w:val="both"/>
      </w:pPr>
      <w:r>
        <w:t xml:space="preserve">(3)</w:t>
      </w:r>
      <w:r xml:space="preserve">
        <w:t> </w:t>
      </w:r>
      <w:r xml:space="preserve">
        <w:t> </w:t>
      </w:r>
      <w:r>
        <w:t xml:space="preserve">"Secured area" means an area of an airport terminal building to which access is controlled by the inspection of persons and property under federal law</w:t>
      </w:r>
      <w:r>
        <w:rPr>
          <w:u w:val="single"/>
        </w:rPr>
        <w:t xml:space="preserve">, or an aircraft parking area that is used by common carriers in air transportation but not by general aviation and to which access is controlled under federal law.  The term does not include a baggage claim area, a motor vehicle parking area used by passengers, employees, or persons awaiting an arrival, or an area used by the public to pick up or drop off passengers or employees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(a)(5)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checked all firearms as baggage in accordance with federal or state law or regulations before entering a secured area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authorized by a federal agency or the airport operator to possess a firearm in a secured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