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87R21898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827</w:t>
      </w:r>
    </w:p>
    <w:p w:rsidR="003F3435" w:rsidRDefault="0032493E">
      <w:pPr>
        <w:ind w:firstLine="720"/>
        <w:jc w:val="both"/>
      </w:pPr>
      <w:r>
        <w:t xml:space="preserve">(Lucio III,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827:</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C.S.S.B.</w:t>
      </w:r>
      <w:r xml:space="preserve">
        <w:t> </w:t>
      </w:r>
      <w:r>
        <w:t xml:space="preserve">No.</w:t>
      </w:r>
      <w:r xml:space="preserve">
        <w:t> </w:t>
      </w:r>
      <w:r>
        <w:t xml:space="preserve">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cost-sharing requirements for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 coverage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"insulin" means a prescription drug that contains insulin and is used to treat diabetes. </w:t>
      </w:r>
      <w:r>
        <w:rPr>
          <w:u w:val="single"/>
        </w:rPr>
        <w:t xml:space="preserve"> </w:t>
      </w:r>
      <w:r>
        <w:rPr>
          <w:u w:val="single"/>
        </w:rPr>
        <w:t xml:space="preserve">The term does not include an insulin drug that is administered to a patient intravenously.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may not impose a cost-sharing provision for insulin that is included in the health benefit plan's formulary if the total amount the enrollee is required to pay exceeds $25 per prescription for a 30-day supply, regardless of the amount or type of insulin needed to fill the enrollee's prescription.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1358.104.</w:t>
      </w:r>
      <w:r>
        <w:rPr>
          <w:u w:val="single"/>
        </w:rPr>
        <w:t xml:space="preserve"> </w:t>
      </w:r>
      <w:r>
        <w:rPr>
          <w:u w:val="single"/>
        </w:rPr>
        <w:t xml:space="preserve"> </w:t>
      </w:r>
      <w:r>
        <w:rPr>
          <w:u w:val="single"/>
        </w:rPr>
        <w:t xml:space="preserve">FORMULARY REQUIREMENT. </w:t>
      </w:r>
      <w:r>
        <w:rPr>
          <w:u w:val="single"/>
        </w:rPr>
        <w:t xml:space="preserve"> </w:t>
      </w:r>
      <w:r>
        <w:rPr>
          <w:u w:val="single"/>
        </w:rPr>
        <w:t xml:space="preserve">A health benefit plan must include at least one insulin from each therapeutic class in the plan's formulary.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