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decommissioning requirements for certain solar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312, Tax Code, is amended by adding Section 312.0022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312.0022.</w:t>
      </w:r>
      <w:r>
        <w:rPr>
          <w:u w:val="single"/>
        </w:rPr>
        <w:t xml:space="preserve"> </w:t>
      </w:r>
      <w:r>
        <w:rPr>
          <w:u w:val="single"/>
        </w:rPr>
        <w:t xml:space="preserve"> </w:t>
      </w:r>
      <w:r>
        <w:rPr>
          <w:u w:val="single"/>
        </w:rPr>
        <w:t xml:space="preserve">LIMITATION ON ABATEMENT OF TAXES ON SOLAR FACILITY PROPERTY.  (a)  In this section, "solar facility" has the meaning assigned by Section 35.201,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may not enter into an agreement under this chapter to exempt from taxation a portion of the value of real property on which a solar facility is located or is planned to be located during the term of the agreement, or of tangible personal property that is located or is planned to be located on the real property during that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313.024, Tax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this subsection, "solar facility" has the meaning assigned by Section 35.201, Utilities Code.  The owner of real property on which a solar facility is located or is planned to be located during the term of an agreement entered into under this subchapter, or of tangible personal property that is located or is planned to be located on the real property during that term, may not receive a limitation on appraised value.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DECOMMISSIONING SOLAR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  In this subchapter, "solar facility" means a facility designed and used primarily for the purpose of collecting, generating, transferring, or storing solar energy. The term does not include a facility installed solely on a building.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DECOMMISSIONING SOLAR FACILITIES.  (a)</w:t>
      </w:r>
      <w:r>
        <w:rPr>
          <w:u w:val="single"/>
        </w:rPr>
        <w:t xml:space="preserve"> </w:t>
      </w:r>
      <w:r>
        <w:rPr>
          <w:u w:val="single"/>
        </w:rPr>
        <w:t xml:space="preserve"> </w:t>
      </w:r>
      <w:r>
        <w:rPr>
          <w:u w:val="single"/>
        </w:rPr>
        <w:t xml:space="preserve">The commission may not authorize a person who operates a solar facility to interconnect the facility to the ERCOT transmission grid unless the person demonstrates to the commission that the operator has entered into an agreement with the county in which the facility is located that provides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operator is responsible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decommissioning the solar facility, including restoring, through soil stabilization and revegetation, the first three feet of depth of the soil on any land disturbed by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ensuring that the requirements of Paragraph (A) are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operator will provide to the county financial assurance in the form of certified funds, cash escrow, a bond, a letter of credit, or a parent guarantee, payable to the county, sufficient to cover the cost of the activities required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 described by Subsection (a)(2) must be based on an estimate of a qualified independent engineer, engaged by the operator and approved by the county, who has experience in preparing decommissioning estimates. The estimate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projected cost of decommissioning, including accounting for the net salvage value of the solar facility and associated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allowance for estimated administrative costs related to a default of the operator;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annual inflation factor.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312.0022, Tax Code, as added by this Act, applies only to an agreement entered into under Chapter 312, Tax Code,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313.024, Tax Code, as amended by this Act, applies only to an agreement entered into under Chapter 313, Tax Code,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