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87R3646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authorization by a school district or open-enrollment charter school for a person to carry or possess a weapon on school premises for purposes of safety and 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37, Education Code, is amended by adding Section 37.0814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37.0814.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GUARDIANS.  (a) In this section, "school guardian" means a person who, pursuant to the written regulations or written authorization of a school district or open-enrollment charter school under Section 46.03(a)(1)(A), Penal Code, is authorized to carry or possess a specified weapon for the purpose of providing safety and security on the physical premises of a school, any grounds or building on which an activity sponsored by a school is being conducted, or a passenger transportation vehicle of a school. The term does not include a school marshal, as defined by Section 1701.001, Occupations Code, or a commissioned peace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School Safety Center shall develop best practices for school districts and open-enrollment charter schools that authorize school guardians to provide safety and security.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that authorizes school guardians shall report the identity of each school guardian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School Safety Center, in the form and manner prescribed by the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law enforcement agency, on written request of the head of the agency.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the identity of a school guardian reported under Subsection (c) is confidential and is not subject to disclosure under Chapter 552, Government Code, by a school district, an open-enrollment charter school, the Texas School Safety Center,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