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26,</w:t>
      </w:r>
      <w:r xml:space="preserve">
        <w:t> </w:t>
      </w:r>
      <w:r>
        <w:t xml:space="preserve">2021; March</w:t>
      </w:r>
      <w:r xml:space="preserve">
        <w:t> </w:t>
      </w:r>
      <w:r>
        <w:t xml:space="preserve">11,</w:t>
      </w:r>
      <w:r xml:space="preserve">
        <w:t> </w:t>
      </w:r>
      <w:r>
        <w:t xml:space="preserve">2021, read first time and referred to Committee on Water, Agriculture &amp; Rural Affairs;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possession, transportation, and release of certain nonindigenous snakes; increasing a criminal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43.851(a),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by rule shall establish permits that allow permit holders to possess or transport in this state a live nonindigenous </w:t>
      </w:r>
      <w:r>
        <w:rPr>
          <w:u w:val="single"/>
        </w:rPr>
        <w:t xml:space="preserve">snake, including a hybrid of any kind, that is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venomous [</w:t>
      </w:r>
      <w:r>
        <w:rPr>
          <w:strike/>
        </w:rPr>
        <w:t xml:space="preserve">snake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constrictor that is one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African rock python, Python sebae;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Asiatic rock python, Python molurus;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Burmese python, Python bivittatus;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green anaconda, Eunectes murinus;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reticulated python, Python reticulatus;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southern African python, Python natalensis.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43.853,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43.853.</w:t>
      </w:r>
      <w:r xml:space="preserve">
        <w:t> </w:t>
      </w:r>
      <w:r xml:space="preserve">
        <w:t> </w:t>
      </w:r>
      <w:r>
        <w:t xml:space="preserve">RELEASE FROM CAPTIVITY.  A person may not intentionally, knowingly, recklessly, or with criminal negligence release or allow the release from captivity of a </w:t>
      </w:r>
      <w:r>
        <w:rPr>
          <w:u w:val="single"/>
        </w:rPr>
        <w:t xml:space="preserve">nonindigenous</w:t>
      </w:r>
      <w:r>
        <w:t xml:space="preserve"> snake [</w:t>
      </w:r>
      <w:r>
        <w:rPr>
          <w:strike/>
        </w:rPr>
        <w:t xml:space="preserve">covered by this subchapter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43.856, Parks and Wildlife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</w:t>
      </w:r>
      <w:r>
        <w:rPr>
          <w:u w:val="single"/>
        </w:rPr>
        <w:t xml:space="preserve">(b) or</w:t>
      </w:r>
      <w:r>
        <w:t xml:space="preserve"> (c), a person who violates this subchapter or a rule adopted under this subchapter commits an offense that is a Class C Parks and Wildlife Code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it is shown at the trial of the defendant for a violation of this subchapter or a rule adopted under this subchapter that the defendant has engaged in a commercial activity without holding a required permit and the defendant has been previously convicted of a violation of this subchapter or a rule adopted under this subchapter, on conviction the defendant shall be punished for a Class B Parks and Wildlife Code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