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87R4474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843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 of certain food by food service establishments.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437, Health and Safety Code, is amended by adding Section 437.026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437.026.</w:t>
      </w:r>
      <w:r>
        <w:rPr>
          <w:u w:val="single"/>
        </w:rPr>
        <w:t xml:space="preserve"> </w:t>
      </w:r>
      <w:r>
        <w:rPr>
          <w:u w:val="single"/>
        </w:rPr>
        <w:t xml:space="preserve"> </w:t>
      </w:r>
      <w:r>
        <w:rPr>
          <w:u w:val="single"/>
        </w:rPr>
        <w:t xml:space="preserve">SALE OF CERTAIN FOOD BY FOOD SERVICE ESTABLISHMENT.  (a) </w:t>
      </w:r>
      <w:r>
        <w:rPr>
          <w:u w:val="single"/>
        </w:rPr>
        <w:t xml:space="preserve"> </w:t>
      </w:r>
      <w:r>
        <w:rPr>
          <w:u w:val="single"/>
        </w:rPr>
        <w:t xml:space="preserve">Except as provided by Subsection (b), a food service establishment that holds a permit under this chapter may sell directly to an individual consumer food, other than prepared food,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 its original condition or original packaging as received by the establishment;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labeled, which may include a handwritten label, with the name and source of the food and the date the food is sold;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meat or poultry, bears an official mark of inspection from the department or the United States Department of Agriculture;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 meat product or poultry product, is obtained from a source that is appropriately inspected and bears an official mark of inspection described by Subdivision (3);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 time and temperature control for safety food as defined by Section 437.0196, does not exceed the shelf life displayed on the food's packaging;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food requiring refrigeration other than produce,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maintained at or below 41 degrees Fahrenheit until the establishment sells or donates the food;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protected from contamination.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food service establishment described by Subsection (a) may not sell directly to an individual consumer food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package exhibiting damage or that is not labeled with the manufacturer's original labeling;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distressed because the food: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subjected to fire, flooding, excessive heat, smoke, radiation, or another environmental contamination;</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held at the correct temperature for the food type;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stored for a prolonged period.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to implement Section 437.026,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437.026, Health and Safety Code, as added by this Act, applies only to the sale of food by a food service establishment that occurs on or after the effective date of this Act. The sale of food by a food service establishment that occurs before the effective date of this Act is governed by the law in effect on the date the sale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