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845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and enforcement of weatherization standards by the Public Utilities Commission for electric utilities, transmission and distribution utilities, electric cooperatives, municipally owned utilities, and generation providers; establishing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38.005, Utilities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adopt minimum weatherization standards for electric utilities, transmission and distribution utilities, electric cooperatives, municipally owned utilities, and generation providers that ensure services remain reasonably reliable in extreme weather conditions. To ensure compliance with this subsection,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rules requiring each electric utility, transmission and distribution utility, electric cooperative, municipally owned utility, and generation provider to file annual reports regarding weatherization measures it implemented pursuant to the standards established pursuant to this subsection;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periodic in-person inspections to verify electric utilities, transmission and distribution utilities, electric cooperatives, municipally owned utilities, and generation providers have implemented minimum weatherization standards.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15, Utilities Code, is amended to add a Section 15.023A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15.023A.</w:t>
      </w:r>
      <w:r>
        <w:rPr>
          <w:u w:val="single"/>
        </w:rPr>
        <w:t xml:space="preserve"> </w:t>
      </w:r>
      <w:r>
        <w:rPr>
          <w:u w:val="single"/>
        </w:rPr>
        <w:t xml:space="preserve"> </w:t>
      </w:r>
      <w:r>
        <w:rPr>
          <w:u w:val="single"/>
        </w:rPr>
        <w:t xml:space="preserve">ADMINISTRATIVE PENALTIES FOR FAILURE TO COMPLY WITH WEATHERIZATION STANDARDS.  (a)  Notwithstanding Section 15.023 of this chapter, the commission shall impose administrative penalties for a violation of Section 38.005(g), Utilities Code,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30 days after a violator is notified that a violation has been identified, the commission shall impose of a penalty of not less than $25,000, unless: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violator has requested a second inspection by the commission during which they demonstrate the violation was remedied;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violator has submitted a plan regarding how the violation will be cured, including a date by which the corrective measures will be complete, that is approved by the commission. Violators shall be permitted to apply for additional time to complete the project if they can demonstrate due cause for a delay. Failure to cure the violation by the date set forth in the commission approved plan shall result in the imposition of all back penalties that would have accrued from the date the violation was identified.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31 days after a violator is notified that a violation has been identified, the commission shall impose a minimum administrative penalty of not less than $2,500 for each day it continues.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91 days after a violator is notified that a violation has been identified, the commission shall impose a minimum administrative penalty of not less than $5,000, but not to exceed $25,000, per day for each day it continues.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imposition of administrative penalties for a violation of 38.005(g), Utilities Code, will cease upon the completion of a second inspection conducted by the commission during which they find the violation was remedied. Any penalties assessed between the date a successful follow-up inspection is requested and when it is completed shall be waived.</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cost of any subsequent inspections required to demonstrate a violation is cured shall be paid by the violator.</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Administrative penalties collected pursuant to this section shall be used to finance periodic weatherization inspections  conducted by the commission.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commission shall adopt rules regarding weatherization standards within six months of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Electric utilities, transmission and distribution utilities, electric cooperatives, municipally owned utilities, and generation providers shall have 18 months from the date the commission adopts weatherization standards to come into compliance with them.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