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851</w:t>
      </w:r>
    </w:p>
    <w:p w:rsidR="003F3435" w:rsidRDefault="0032493E">
      <w:pPr>
        <w:ind w:firstLine="720"/>
        <w:jc w:val="both"/>
      </w:pPr>
      <w:r>
        <w:t xml:space="preserve">(Dominguez)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