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87R6610 SRA-F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Johnson, Paxton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858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disclosure of information collected by a regional transportation authority under the public information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452.061(e),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Personal identifying information collected by an authority is confidential and not subject to disclosure under Chapter 552, Government Code, including a person's: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name, address, e-mail address, and phone number;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account number, password, payment transaction activity, toll or charge record, or credit, debit, or other payment card number;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rPr>
          <w:u w:val="single"/>
        </w:rPr>
        <w:t xml:space="preserve">trip data, including the time, date, origin, and destination of a trip, and demographic information collected when the person purchases a ticket or schedules a trip;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 xml:space="preserve">
        <w:t> </w:t>
      </w:r>
      <w:r xml:space="preserve">
        <w:t> </w:t>
      </w:r>
      <w:r>
        <w:t xml:space="preserve">other personal [</w:t>
      </w:r>
      <w:r>
        <w:rPr>
          <w:strike/>
        </w:rPr>
        <w:t xml:space="preserve">financial</w:t>
      </w:r>
      <w:r>
        <w:t xml:space="preserve">] information</w:t>
      </w:r>
      <w:r>
        <w:rPr>
          <w:u w:val="single"/>
        </w:rPr>
        <w:t xml:space="preserve">, including financial information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858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