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87R3722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a statewide disaster alert system and implementation of that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STATEWIDE DISASTER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  In this subchapter, "alert system" means the standardized statewide disaster alert system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418.3015.</w:t>
      </w:r>
      <w:r>
        <w:rPr>
          <w:u w:val="single"/>
        </w:rPr>
        <w:t xml:space="preserve"> </w:t>
      </w:r>
      <w:r>
        <w:rPr>
          <w:u w:val="single"/>
        </w:rPr>
        <w:t xml:space="preserve"> </w:t>
      </w:r>
      <w:r>
        <w:rPr>
          <w:u w:val="single"/>
        </w:rPr>
        <w:t xml:space="preserve">STUDY ON STATEWIDE DISASTER ALERT SYSTEM.  (a) </w:t>
      </w:r>
      <w:r>
        <w:rPr>
          <w:u w:val="single"/>
        </w:rPr>
        <w:t xml:space="preserve"> </w:t>
      </w:r>
      <w:r>
        <w:rPr>
          <w:u w:val="single"/>
        </w:rPr>
        <w:t xml:space="preserve">The division shall conduct a study on the efficacy of existing mass notification deployments by local governmental entities throughout this state and the feasibility of establishing a statewide disaster alert system.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costs to local governmental entities associated with existing local disaster alert or notification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potential benefits to local governmental entities of implementing an alert system in coordination with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this state's ability to coordinate state and local responses to disasters;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eliminating barriers to successful mass notification and communication encountered by local governmental entities during disasters;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importance of a local governmental entity's discretion regarding the entity's level and manner of participation in the alert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examine potential costs to local governmental entities or this state associated with implementing the alert system;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any state or local governmental entity actions necessary to implement a comprehensive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2022, the division shall prepare and submit to the governor, the lieutenant governor, and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ESTABLISHMENT OF ALERT SYSTEM.  (a)  The division, with the cooperation of the office of the governor, may develop and implement a statewide disaster alert system to activate in the event of a disaster affecting any location in this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based on the findings of the study conducted under Section 418.3015, the division and office of the governor conclude that the benefits to this state and local governmental entities of implementing a coordinated alert system outweigh any additional costs, the division, with the cooperation of the office and other appropriate state agencies and using money available for the purpose, shall develop and implement the alert system.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that chooses to participate in an alert system implemented under this subchapter may use available local funds for that purpose and may contract with the department for services associated with the alert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alert system implemented under this subchapter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operated in conjunction with any other emergency alert system required by federal or state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to notify persons statewide of a disaster affecting any location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ACTIVATION OF ALERT SYSTEM.  (a)  When the division determines a disaster has occurred or the occurrence or threat of disaster is imminent or is notified of a declaration of disaster under this chapter, the division may immediately activate any alert system implemented under this subchapter. </w:t>
      </w:r>
      <w:r>
        <w:rPr>
          <w:u w:val="single"/>
        </w:rPr>
        <w:t xml:space="preserve"> </w:t>
      </w:r>
      <w:r>
        <w:rPr>
          <w:u w:val="single"/>
        </w:rPr>
        <w:t xml:space="preserve">A participating local governmental entity may, in coordination with the division, choose the manner in which the alert system is activated and notifications are issued within the entity's geographic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or local governmental entity, as appropriate, may issue updated notifications for the duration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CONTENT OF ALERT SYSTEM NOTIFICATION.  A notification issued under an alert system implemented under this subchapter may include information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a person affected by the disaster with making informed decisions regarding the person's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a person in another location in this state to assist an affected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TERMINATION OF ALERT SYSTEM.  The division may terminate the activation of an alert system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disaster has been addressed to the extent that emergency conditions no longer exist;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of disaster is terminated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RULES. </w:t>
      </w:r>
      <w:r>
        <w:rPr>
          <w:u w:val="single"/>
        </w:rPr>
        <w:t xml:space="preserve"> </w:t>
      </w:r>
      <w:r>
        <w:rPr>
          <w:u w:val="single"/>
        </w:rPr>
        <w:t xml:space="preserve">The division may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Division of Emergency Management shall conduct the study required by Section 418.3015, Government Code, as added by this Act; and</w:t>
      </w:r>
    </w:p>
    <w:p w:rsidR="003F3435" w:rsidRDefault="0032493E">
      <w:pPr>
        <w:spacing w:line="480" w:lineRule="auto"/>
        <w:ind w:firstLine="1440"/>
        <w:jc w:val="both"/>
      </w:pPr>
      <w:r>
        <w:t xml:space="preserve">(2)</w:t>
      </w:r>
      <w:r xml:space="preserve">
        <w:t> </w:t>
      </w:r>
      <w:r xml:space="preserve">
        <w:t> </w:t>
      </w:r>
      <w:r>
        <w:t xml:space="preserve">based on the results of the study, if applicable, the chief of the Texas Division of Emergency Management shall implement an alert system under Subchapter J,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