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866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2021; March</w:t>
      </w:r>
      <w:r xml:space="preserve">
        <w:t> </w:t>
      </w:r>
      <w:r>
        <w:t xml:space="preserve">11,</w:t>
      </w:r>
      <w:r xml:space="preserve">
        <w:t> </w:t>
      </w:r>
      <w:r>
        <w:t xml:space="preserve">2021, read first time and referred to Committee on Health &amp; Human Services; April</w:t>
      </w:r>
      <w:r xml:space="preserve">
        <w:t> </w:t>
      </w:r>
      <w:r>
        <w:t xml:space="preserve">27,</w:t>
      </w:r>
      <w:r xml:space="preserve">
        <w:t> </w:t>
      </w:r>
      <w:r>
        <w:t xml:space="preserve">2021, reported favorably by the following vote:</w:t>
      </w:r>
      <w:r>
        <w:t xml:space="preserve"> </w:t>
      </w:r>
      <w:r>
        <w:t xml:space="preserve"> </w:t>
      </w:r>
      <w:r>
        <w:t xml:space="preserve">Yeas 5, Nays 4; April</w:t>
      </w:r>
      <w:r xml:space="preserve">
        <w:t> </w:t>
      </w:r>
      <w:r>
        <w:t xml:space="preserve">27,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electronic benefits transfer cards used by or for recipients of benefits under certain assistance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Sections 531.0911 and 531.0912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531.0911.</w:t>
      </w:r>
      <w:r>
        <w:rPr>
          <w:u w:val="single"/>
        </w:rPr>
        <w:t xml:space="preserve"> </w:t>
      </w:r>
      <w:r>
        <w:rPr>
          <w:u w:val="single"/>
        </w:rPr>
        <w:t xml:space="preserve"> </w:t>
      </w:r>
      <w:r>
        <w:rPr>
          <w:u w:val="single"/>
        </w:rPr>
        <w:t xml:space="preserve">PHOTOGRAPH AND OTHER INFORMATION ON CERTAIN ELECTRONIC BENEFITS TRANSFER CARDS.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"Financial assistance program" means the financial assistance program established under Chapter 31,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"Recipient" means a person who receives benefits under the financial assistance program or the supplemental nutrition assistance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"Supplemental nutrition assistance program" has the meaning assigned by Section 33.0005,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(d), the commission shall ensure that the front side of each electronic benefits transfer card used by a recipient or other person authorized on the recipient's account for purposes of receiving benefits under the financial assistance program or the supplemental nutrition assistance program displays: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photograph of the recipient or other authorized person, as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words "Fraud Hotline"</w:t>
      </w:r>
      <w:r>
        <w:rPr>
          <w:u w:val="single"/>
        </w:rPr>
        <w:t xml:space="preserve"> </w:t>
      </w:r>
      <w:r>
        <w:rPr>
          <w:u w:val="single"/>
        </w:rPr>
        <w:t xml:space="preserve">followed by the telephone number of the commission's toll-free hotline for reporting suspected fraud required under Section 531.108(b)(2);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Internet website address maintained by the commission for the purpose of allowing persons to report suspected fraud in either the financial assistance program or the supplemental nutrition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Public Safety shall provide to the commission the photographs of a recipient and each person authorized on the recipient's account that the department has in its records. </w:t>
      </w:r>
      <w:r>
        <w:rPr>
          <w:u w:val="single"/>
        </w:rPr>
        <w:t xml:space="preserve"> </w:t>
      </w:r>
      <w:r>
        <w:rPr>
          <w:u w:val="single"/>
        </w:rPr>
        <w:t xml:space="preserve">The commission shall use the photographs for purposes of complying with Subsection (b)(1).  The commission and the department may enter into a memorandum of understanding for purposes of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recipient or other person authorized on the recipient's account is exempt from the photograph requirement imposed by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or other authorized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65 years of age or older;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younger than 19 years of age;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blind;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disabled;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victim of domestic violence;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homeless;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issued the electronic benefits transfer card at a field, regional, or other local commission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does not provide a photograph of the recipient or other authorized person to the commission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adopt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531.0912.</w:t>
      </w:r>
      <w:r>
        <w:rPr>
          <w:u w:val="single"/>
        </w:rPr>
        <w:t xml:space="preserve"> </w:t>
      </w:r>
      <w:r>
        <w:rPr>
          <w:u w:val="single"/>
        </w:rPr>
        <w:t xml:space="preserve"> </w:t>
      </w:r>
      <w:r>
        <w:rPr>
          <w:u w:val="single"/>
        </w:rPr>
        <w:t xml:space="preserve">MONITORING AND REPORTING OF ELECTRONIC BENEFITS TRANSFER CARD REPLACEMENT REQUESTS.  (a) </w:t>
      </w:r>
      <w:r>
        <w:rPr>
          <w:u w:val="single"/>
        </w:rPr>
        <w:t xml:space="preserve"> </w:t>
      </w:r>
      <w:r>
        <w:rPr>
          <w:u w:val="single"/>
        </w:rPr>
        <w:t xml:space="preserve">In this section "financial assistance program," "recipient," and "supplemental nutrition assistance program" have the meanings assigned by Section 531.0911.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monitor the frequency with which recipients request replacements of their electronic benefits transfer cards used for purposes of receiving benefits under the financial assistance program or the supplemental nutrition assistance program. </w:t>
      </w:r>
      <w:r>
        <w:rPr>
          <w:u w:val="single"/>
        </w:rPr>
        <w:t xml:space="preserve"> </w:t>
      </w:r>
      <w:r>
        <w:rPr>
          <w:u w:val="single"/>
        </w:rPr>
        <w:t xml:space="preserve">Not later than December 1 of each year, the commission shall submit a report regarding that frequency to the standing committees of the house of representatives and the senate with jurisdiction over the financial assistance and supplemental nutrition assistance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Health and Human Services Commission for use on an electronic benefits transfer card as required by Section 531.0911, Government Code;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531.0911, Government Code, as added by this Act, the Health and Human Services Commission:</w:t>
      </w:r>
    </w:p>
    <w:p w:rsidR="003F3435" w:rsidRDefault="0032493E">
      <w:pPr>
        <w:spacing w:line="480" w:lineRule="auto"/>
        <w:ind w:firstLine="1440"/>
        <w:jc w:val="both"/>
      </w:pPr>
      <w:r>
        <w:t xml:space="preserve">(1)</w:t>
      </w:r>
      <w:r xml:space="preserve">
        <w:t> </w:t>
      </w:r>
      <w:r xml:space="preserve">
        <w:t> </w:t>
      </w:r>
      <w:r>
        <w:t xml:space="preserve">is not required to issue electronic benefits transfer cards that comply with that section until September 1, 2022, but is required to begin issuing cards that comply with that section beginning on that date; and</w:t>
      </w:r>
    </w:p>
    <w:p w:rsidR="003F3435" w:rsidRDefault="0032493E">
      <w:pPr>
        <w:spacing w:line="480" w:lineRule="auto"/>
        <w:ind w:firstLine="1440"/>
        <w:jc w:val="both"/>
      </w:pPr>
      <w:r>
        <w:t xml:space="preserve">(2)</w:t>
      </w:r>
      <w:r xml:space="preserve">
        <w:t> </w:t>
      </w:r>
      <w:r xml:space="preserve">
        <w:t> </w:t>
      </w:r>
      <w:r>
        <w:t xml:space="preserve">shall ensure that on or before August 31, 2024, each electronic benefits transfer card used to deliver benefits to recipients under the financial assistance program under Chapter 31, Human Resources Code, or the supplemental nutrition assistance program under Chapter 33, Human Resources Code, conforms to Section 531.0911,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531.0912, Government Code, as added by this Act, the Health and Human Services Commission shall submit the first report required by that section not later than December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