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868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revenues dedicated to the Texas Mobility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501.138, Transportation Code, is amended to read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501.138 (b-2) and (b-3)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386.250(b)(1)(B) Health and Safety Code is amended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rPr>
          <w:strike/>
        </w:rPr>
        <w:t xml:space="preserve">501.138</w:t>
      </w:r>
      <w:r>
        <w:t xml:space="preserve">, 502.358, and 548.5055 Transportation Code;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