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 et al.</w:t>
      </w:r>
      <w:r xml:space="preserve">
        <w:tab wTab="150" tlc="none" cTlc="0"/>
      </w:r>
      <w:r>
        <w:t xml:space="preserve">S.B.</w:t>
      </w:r>
      <w:r xml:space="preserve">
        <w:t> </w:t>
      </w:r>
      <w:r>
        <w:t xml:space="preserve">No.</w:t>
      </w:r>
      <w:r xml:space="preserve">
        <w:t> </w:t>
      </w:r>
      <w:r>
        <w:t xml:space="preserve">873</w:t>
      </w:r>
    </w:p>
    <w:p w:rsidR="003F3435" w:rsidRDefault="0032493E">
      <w:pPr>
        <w:ind w:firstLine="720"/>
        <w:jc w:val="both"/>
      </w:pPr>
      <w:r>
        <w:t xml:space="preserve">(Button)</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disclosure by the comptroller to the purchaser of a business of the amount of tax due.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111.020, Tax Code, is amended by amending Subsection (c) and adding Subsection (c-1) to read as follows:</w:t>
      </w:r>
    </w:p>
    <w:p w:rsidR="003F3435" w:rsidRDefault="0032493E">
      <w:pPr>
        <w:spacing w:line="480" w:lineRule="auto"/>
        <w:ind w:firstLine="720"/>
        <w:jc w:val="both"/>
      </w:pPr>
      <w:r>
        <w:t xml:space="preserve">(c)</w:t>
      </w:r>
      <w:r xml:space="preserve">
        <w:t> </w:t>
      </w:r>
      <w:r xml:space="preserve">
        <w:t> </w:t>
      </w:r>
      <w:r>
        <w:t xml:space="preserve">The purchaser of a business may request</w:t>
      </w:r>
      <w:r>
        <w:rPr>
          <w:u w:val="single"/>
        </w:rPr>
        <w:t xml:space="preserve">, on an affidavit or other form prescribed by the comptroller,</w:t>
      </w:r>
      <w:r>
        <w:t xml:space="preserve"> that the comptroller issue a certificate stating that no tax is due or issue a statement of the amount required to be paid before a certificate may be issued. </w:t>
      </w:r>
      <w:r>
        <w:t xml:space="preserve"> </w:t>
      </w:r>
      <w:r>
        <w:t xml:space="preserve">The comptroller shall issue the certificate or statement within 60 days after receiving the request or within 60 days after the day on which the records of the former owner of the business are made available for audit, whichever period expires later, but in either event the comptroller shall issue the certificate or statement within 90 days after the date of receiving the request.</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Section 111.006(a) does not apply to the disclosure of information under Subsection (c).</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