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by the comptroller to the purchaser of a business of the amount of tax due.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111.020,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purchaser of a business may request</w:t>
      </w:r>
      <w:r>
        <w:rPr>
          <w:u w:val="single"/>
        </w:rPr>
        <w:t xml:space="preserve">, on an affidavit or other form prescribed by the comptroller,</w:t>
      </w:r>
      <w:r>
        <w:t xml:space="preserve"> that the comptroller issue a certificate stating that no tax is due or issue a statement of the amount required to be paid before a certificate may be issued. 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111.006(a) does not apply to the disclosure of information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