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873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2021; March</w:t>
      </w:r>
      <w:r xml:space="preserve">
        <w:t> </w:t>
      </w:r>
      <w:r>
        <w:t xml:space="preserve">11,</w:t>
      </w:r>
      <w:r xml:space="preserve">
        <w:t> </w:t>
      </w:r>
      <w:r>
        <w:t xml:space="preserve">2021, read first time and referred to Committee on Business &amp; Commerce; March</w:t>
      </w:r>
      <w:r xml:space="preserve">
        <w:t> </w:t>
      </w:r>
      <w:r>
        <w:t xml:space="preserve">26,</w:t>
      </w:r>
      <w:r xml:space="preserve">
        <w:t> </w:t>
      </w:r>
      <w:r>
        <w:t xml:space="preserve">2021, reported favorably by the following vote:</w:t>
      </w:r>
      <w:r>
        <w:t xml:space="preserve"> </w:t>
      </w:r>
      <w:r>
        <w:t xml:space="preserve"> </w:t>
      </w:r>
      <w:r>
        <w:t xml:space="preserve">Yeas 8, Nays 0; March</w:t>
      </w:r>
      <w:r xml:space="preserve">
        <w:t> </w:t>
      </w:r>
      <w:r>
        <w:t xml:space="preserve">26,</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disclosure by the comptroller to the purchaser of a business of the amount of tax due.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111.020, Tax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purchaser of a business may request</w:t>
      </w:r>
      <w:r>
        <w:rPr>
          <w:u w:val="single"/>
        </w:rPr>
        <w:t xml:space="preserve">, on an affidavit or other form prescribed by the comptroller,</w:t>
      </w:r>
      <w:r>
        <w:t xml:space="preserve"> that the comptroller issue a certificate stating that no tax is due or issue a statement of the amount required to be paid before a certificate may be issued. </w:t>
      </w:r>
      <w:r>
        <w:t xml:space="preserve"> </w:t>
      </w:r>
      <w:r>
        <w:t xml:space="preserve">The comptroller shall issue the certificate or statement within 60 days after receiving the request or within 60 days after the day on which the records of the former owner of the business are made available for audit, whichever period expires later, but in either event the comptroller shall issue the certificate or statement within 90 days after the date of receiving the request.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Section 111.006(a) does not apply to the disclosure of information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