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Hancock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874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reporting and expiration dates of a temporary health insurance risk pool administered by the commissioner of insurance.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1510.012(a), Insurance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Beginning June 1, </w:t>
      </w:r>
      <w:r>
        <w:rPr>
          <w:u w:val="single"/>
        </w:rPr>
        <w:t xml:space="preserve">2022</w:t>
      </w:r>
      <w:r>
        <w:t xml:space="preserve"> [</w:t>
      </w:r>
      <w:r>
        <w:rPr>
          <w:strike/>
        </w:rPr>
        <w:t xml:space="preserve">2020</w:t>
      </w:r>
      <w:r>
        <w:t xml:space="preserve">], not later than June 1 of each year, the department shall submit a report to the governor, the lieutenant governor, and the speaker of the house of representatives.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1510.013, Insurance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1510.013.</w:t>
      </w:r>
      <w:r xml:space="preserve">
        <w:t> </w:t>
      </w:r>
      <w:r xml:space="preserve">
        <w:t> </w:t>
      </w:r>
      <w:r>
        <w:t xml:space="preserve">EXPIRATION OF CHAPTER.  This chapter expires August 31, </w:t>
      </w:r>
      <w:r>
        <w:rPr>
          <w:u w:val="single"/>
        </w:rPr>
        <w:t xml:space="preserve">2023</w:t>
      </w:r>
      <w:r>
        <w:t xml:space="preserve"> [</w:t>
      </w:r>
      <w:r>
        <w:rPr>
          <w:strike/>
        </w:rPr>
        <w:t xml:space="preserve">2021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874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