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87R6368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878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Internet online dropout recovery education program for students at risk of dropping out of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29.081(d), Education Code, as amended by Chapters 403 (S.B. 1746), 597 (S.B. 668), and 1060 (H.B. 1051), Acts of the 86th Legislature, Regular Session, 2019, is reenacted and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t xml:space="preserve">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B, Chapter 39,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37.006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37.007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a student of limited English proficiency, as defined by Section 29.052;</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 [</w:t>
      </w:r>
      <w:r>
        <w:rPr>
          <w:strike/>
        </w:rPr>
        <w:t xml:space="preserve">or</w:t>
      </w:r>
      <w:r>
        <w:t xml:space="preserve">]</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has been incarcerated or has a parent or guardian who has been incarcerated, within the lifetime of the student, in a penal institution as defined by Section 1.07, Penal Code</w:t>
      </w:r>
      <w:r>
        <w:rPr>
          <w:u w:val="single"/>
        </w:rPr>
        <w:t xml:space="preserve">; or</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is enrolled in a school district or open-enrollment charter school, or a campus of a school district or open-enrollment charter school, that is designated as a dropout recovery school under Section 39.0548;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a high school diploma and industry certification charter school program under Section 29.259.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29.081, Education Code, is amended by amending Subsection (e-2) and adding Subsection (f-1) to read as follows:</w:t>
      </w:r>
    </w:p>
    <w:p w:rsidR="003F3435" w:rsidRDefault="0032493E">
      <w:pPr>
        <w:spacing w:line="480" w:lineRule="auto"/>
        <w:ind w:firstLine="720"/>
        <w:jc w:val="both"/>
      </w:pPr>
      <w:r>
        <w:t xml:space="preserve">(e-2)</w:t>
      </w:r>
      <w:r xml:space="preserve">
        <w:t> </w:t>
      </w:r>
      <w:r xml:space="preserve">
        <w:t> </w:t>
      </w:r>
      <w:r>
        <w:t xml:space="preserve">An Internet online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provide a monthly report to the student's school district regarding the student's progress;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An Internet online dropout recovery education program is not subject to commissioner rules applicable to an optional flexible school day program under Section 29.0822 regarding minutes of instruction and calculation of average daily attendance. </w:t>
      </w:r>
      <w:r>
        <w:rPr>
          <w:u w:val="single"/>
        </w:rPr>
        <w:t xml:space="preserve"> </w:t>
      </w:r>
      <w:r>
        <w:rPr>
          <w:u w:val="single"/>
        </w:rPr>
        <w:t xml:space="preserve">For the purposes of calculating attendance for an Internet online dropout recovery education program,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a student to be scheduled for and receiving instruction for 55 minutes per day for each course taken for purposes of determining whether the student satisfies the requirements of half-day or full-day enrollment;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a student who is enrolled for five semester courses to be in attendance for each day of instruction in the reporting period for purposes of establishing the student's daily attendance;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calculate the final average daily attendance of the program based on successful student completion of semester courses in which students were enrolled using course completion data reported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adjust the average daily attendance based on students' failure to complete semester courses;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adjust the amount of funding provided under the Foundation School Program during the following school year based on any adjustment made under Subdivision (4).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