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885</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quitclaim deeds.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claim based on </w:t>
      </w:r>
      <w:r>
        <w:rPr>
          <w:u w:val="single"/>
        </w:rPr>
        <w:t xml:space="preserve">a quitclaim deed,</w:t>
      </w:r>
      <w:r>
        <w:t xml:space="preserve"> a forged deed</w:t>
      </w:r>
      <w:r>
        <w:rPr>
          <w:u w:val="single"/>
        </w:rPr>
        <w:t xml:space="preserve">,</w:t>
      </w:r>
      <w:r>
        <w:t xml:space="preserve"> or a deed executed under a forged power of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Property Code, is amended by adding Section 13.006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13.006.</w:t>
      </w:r>
      <w:r>
        <w:rPr>
          <w:u w:val="single"/>
        </w:rPr>
        <w:t xml:space="preserve"> </w:t>
      </w:r>
      <w:r>
        <w:rPr>
          <w:u w:val="single"/>
        </w:rPr>
        <w:t xml:space="preserve"> </w:t>
      </w:r>
      <w:r>
        <w:rPr>
          <w:u w:val="single"/>
        </w:rPr>
        <w:t xml:space="preserve">EFFECT OF RECORDING QUITCLAIM DEED.  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affect the question of the good faith of a subsequent purchaser or creditor;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notice to a subsequent purchaser or creditor of any unrecorded conveyance of, transfer of, or encumbrance on the real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quitclaim deed recorded on or after the effective date of this Act.  A quitclaim deed recorded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