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87R657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school district or open-enrollment charter school adopting a policy allowing a school employee to carry or possess a handgun on school property or at a school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37.0811, Education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board of trustees of a school district or the governing body of an open-enrollment charter school may appoint school marshals under this section only if a school marshal policy is adopted by the board or governing body by a record vote taken at a public meeting.  Before adopting the school marshal policy, the board or governing body must provide a reasonable period for public comment regarding the policy.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</w:t>
      </w:r>
      <w:r>
        <w:rPr>
          <w:u w:val="single"/>
        </w:rPr>
        <w:t xml:space="preserve">, under the policy adopted under Subsection (a),</w:t>
      </w:r>
      <w:r>
        <w:t xml:space="preserve"> one or more school marshals for each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37, Education Code, is amended by adding Section 37.0816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37.0816.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 AUTHORIZING PERSON TO CARRY OR POSSESS HANDGUN.  The board of trustees of a school district or the governing body of an open-enrollment charter school may not authorize a person to carry or possess a handgun for which the person is licensed under Subchapter H, Chapter 411, Government Code, on the physical premises of a campus or school, any grounds or building on which an activity sponsored by a school or campus is being conducted, or a passenger transportation vehicle of a school or campus, unless, by a record vote taken at a public meeting, the board or governing body adopts a policy allowing a person to carry or possess a handgun in accordance with Section 46.03(a)(1), Penal Code.  A public meeting held to adopt a policy described by this section must provide for a reasonable period for public comment regarding the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2022, each board of trustees of a school district and each governing body of an open-enrollment charter school that, before the effective date of this Act, has appointed a school marshal under Section 37.0811, Education Code, or has otherwise authorized any person to carry or possess a handgun in the manner described by Section 37.0816, Education Code, as added by this Act, shall hold a public meeting and allow for public comment on the appointment of school marshals or authorization to carry or possess a handgun,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