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 school district improvement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11.252,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appropriate measures of district performance, including school climate as defined by Subsection (a-1);</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w:t>
      </w:r>
      <w:r>
        <w:rPr>
          <w:strike/>
        </w:rPr>
        <w:t xml:space="preserve">student</w:t>
      </w:r>
      <w:r>
        <w:t xml:space="preserve">]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evidence-based practices that address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G, Chapter 38, which include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positive behavior interventions and support, including interventions and support that integrate best practices on grief-informed and trauma-informed care;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w:t>
      </w:r>
    </w:p>
    <w:p w:rsidR="003F3435" w:rsidRDefault="0032493E">
      <w:pPr>
        <w:spacing w:line="480" w:lineRule="auto"/>
        <w:ind w:firstLine="2160"/>
        <w:jc w:val="both"/>
      </w:pPr>
      <w:r>
        <w:t xml:space="preserve">(H)</w:t>
      </w:r>
      <w:r xml:space="preserve">
        <w:t> </w:t>
      </w:r>
      <w:r xml:space="preserve">
        <w:t> </w:t>
      </w:r>
      <w:r>
        <w:t xml:space="preserve">accelerated education;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implementation of a comprehensive school counseling program under Section 33.005; </w:t>
      </w:r>
      <w:r>
        <w:rPr>
          <w:u w:val="single"/>
        </w:rPr>
        <w:t xml:space="preserve">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methods for promoting a safe and supportive school climate as defined by Subsection (a-1);</w:t>
      </w:r>
    </w:p>
    <w:p w:rsidR="003F3435" w:rsidRDefault="0032493E">
      <w:pPr>
        <w:spacing w:line="480" w:lineRule="auto"/>
        <w:ind w:firstLine="1440"/>
        <w:jc w:val="both"/>
      </w:pPr>
      <w:r>
        <w:t xml:space="preserve">(4)</w:t>
      </w:r>
      <w:r xml:space="preserve">
        <w:t> </w:t>
      </w:r>
      <w:r xml:space="preserve">
        <w:t> </w:t>
      </w:r>
      <w:r>
        <w:t xml:space="preserve">strategies for providing to elementary school,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 including state financial aid opportunities such as the TEXAS grant program and the Teach for Texas grant program established under Chapter 56;</w:t>
      </w:r>
    </w:p>
    <w:p w:rsidR="003F3435" w:rsidRDefault="0032493E">
      <w:pPr>
        <w:spacing w:line="480" w:lineRule="auto"/>
        <w:ind w:firstLine="2160"/>
        <w:jc w:val="both"/>
      </w:pPr>
      <w:r>
        <w:t xml:space="preserve">(B)</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(C)</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 and</w:t>
      </w:r>
    </w:p>
    <w:p w:rsidR="003F3435" w:rsidRDefault="0032493E">
      <w:pPr>
        <w:spacing w:line="480" w:lineRule="auto"/>
        <w:ind w:firstLine="1440"/>
        <w:jc w:val="both"/>
      </w:pPr>
      <w:r>
        <w:t xml:space="preserve">(10)</w:t>
      </w:r>
      <w:r xml:space="preserve">
        <w:t> </w:t>
      </w:r>
      <w:r xml:space="preserve">
        <w:t> </w:t>
      </w:r>
      <w:r>
        <w:t xml:space="preserve">the trauma-informed care policy required under Section 38.036.</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