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Zaffirini</w:t>
      </w:r>
      <w:r xml:space="preserve">
        <w:tab wTab="150" tlc="none" cTlc="0"/>
      </w:r>
      <w:r>
        <w:t xml:space="preserve">S.B.</w:t>
      </w:r>
      <w:r xml:space="preserve">
        <w:t> </w:t>
      </w:r>
      <w:r>
        <w:t xml:space="preserve">No.</w:t>
      </w:r>
      <w:r xml:space="preserve">
        <w:t> </w:t>
      </w:r>
      <w:r>
        <w:t xml:space="preserve">904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trauma training for certain attorneys.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107.004, Family Code, is amended by amending Subsection (b-1) and adding Subsections (b-2), (b-3), and (b-4) to read as follows:</w:t>
      </w:r>
    </w:p>
    <w:p w:rsidR="003F3435" w:rsidRDefault="0032493E">
      <w:pPr>
        <w:spacing w:line="480" w:lineRule="auto"/>
        <w:ind w:firstLine="720"/>
        <w:jc w:val="both"/>
      </w:pPr>
      <w:r>
        <w:t xml:space="preserve">(b-1)</w:t>
      </w:r>
      <w:r xml:space="preserve">
        <w:t> </w:t>
      </w:r>
      <w:r xml:space="preserve">
        <w:t> </w:t>
      </w:r>
      <w:r>
        <w:t xml:space="preserve">An attorney who is on the list maintained by the court as being qualified for appointment as an attorney ad litem for a child in a child protection case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complete at least three hours of continuing legal education relating to the representation of a child in a proceeding under Subtitle E each year before the anniversary date of the attorney's listing</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proof that the attorney has completed a training program regarding trauma-informed care and the effect of trauma on children in the conservatorship of the Department of Family and Protective Services</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training described by Subsection (b-1)(2) may satisfy the training requirement under Subsection (b-1)(1) in a year in which an attorney completes the training.</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An attorney described by Subsection (b-1) shall complete the training required by Subsection (b-1)(2) as soon as practicable after the attorney is placed on the list described by Subsection (b-1).</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The training required by Subsection (b-1)(2) must be designed to educate an attorney regarding the attorney's duty under Subsection (d-3) and include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symptoms of trauma and the impact that trauma has on a child, including how trauma may affect a child's development, emotions, memories, behavior, and decision-making;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attachment and how a lack of attachment may affect a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role that trauma-informed care and services can have in a child's ability to build connections, feel safe, and regulate the child's emotions to help the child build resiliency and overcome the effects of trauma and adverse childhood experiences;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importance of screening children for trauma and the risk of mislabeling and inappropriate treatment of children without proper screening, including the risk associated with increasing the use of psychotropic medication;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potential for re-traumatization of children in the conservatorship of the Department of Family and Protective Services;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availability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research-supported, trauma-informed, non-pharmacological interventions;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trauma-informed advocacy to increase a child's access, while the child is in the conservatorship of the Department of Family and Protective Services,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trauma-informed care;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trauma-informed mental and behavioral health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An attorney who is on the list maintained by a court as being qualified for appointment as an attorney ad litem for a child in a child protection case on the effective date of this Act shall complete the training required by Section 107.004(b-1)(2), Family Code, as added by this Act, not later than September 1,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