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87R7254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conduct engaged in while participating in a riot and to restitution for property damage resulting from participating in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42.02, Penal Code, is amended by amending Subsections (a) and (e) and adding Subsections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For the purpose of</w:t>
      </w:r>
      <w:r>
        <w:t xml:space="preserve">]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"Riot"</w:t>
      </w:r>
      <w:r>
        <w:t xml:space="preserve"> [</w:t>
      </w:r>
      <w:r>
        <w:rPr>
          <w:strike/>
        </w:rPr>
        <w:t xml:space="preserve">, "riot"</w:t>
      </w:r>
      <w:r>
        <w:t xml:space="preserve">] means the assemblage of seven or more persons resulting in conduct which:</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creates an immediate danger of damage to property or injury to persons;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substantially obstructs law enforcement or other governmental functions or services;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by force, threat of force, or physical action deprives any person of a legal right or disturbs any person in the enjoyment of a legal right.</w:t>
      </w:r>
    </w:p>
    <w:p w:rsidR="003F3435" w:rsidRDefault="0032493E">
      <w:pPr>
        <w:spacing w:line="480" w:lineRule="auto"/>
        <w:ind w:firstLine="720"/>
        <w:jc w:val="both"/>
      </w:pPr>
      <w:r>
        <w:t xml:space="preserve">(e)</w:t>
      </w:r>
      <w:r xml:space="preserve">
        <w:t> </w:t>
      </w:r>
      <w:r xml:space="preserve">
        <w:t> </w:t>
      </w:r>
      <w:r>
        <w:t xml:space="preserve">Except as provided </w:t>
      </w:r>
      <w:r>
        <w:rPr>
          <w:u w:val="single"/>
        </w:rPr>
        <w:t xml:space="preserve">by Subsections</w:t>
      </w:r>
      <w:r>
        <w:t xml:space="preserve"> [</w:t>
      </w:r>
      <w:r>
        <w:rPr>
          <w:strike/>
        </w:rPr>
        <w:t xml:space="preserve">in Subsection</w:t>
      </w:r>
      <w:r>
        <w:t xml:space="preserve">] (f) </w:t>
      </w:r>
      <w:r>
        <w:rPr>
          <w:u w:val="single"/>
        </w:rPr>
        <w:t xml:space="preserve">and (g)</w:t>
      </w:r>
      <w:r>
        <w:t xml:space="preserve">, an offense under this section is a Class B misdemeanor.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state jail felony if it is shown on the trial of the offense that the actor, while participating in the riot, knowingly committed or attempted to commit an offense under Section 22.01(a)(1) or (3) against a person the actor knew was a first responder while the person was performing a duty as a first responder.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the actor is presumed to have known the person was a first responder if the person was wearing a distinctive uniform or badge indicating the person's status as a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 Code of Criminal Procedure,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court shall order a defendant convicted of an offense under Section 42.02, Penal Code, to make restitution for any damage to or loss or destruction of property by reimbursing the owner of the property for the cost of restoring or replacing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