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87R5336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certain noncompliance by an appraisal district in the Texas Department of Licensing and Regulation records of a professional property tax appraiser serving as chief appraiser for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1151, Occupations Code, is amended by adding Section 1151.109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1151.109.</w:t>
      </w:r>
      <w:r>
        <w:rPr>
          <w:u w:val="single"/>
        </w:rPr>
        <w:t xml:space="preserve"> </w:t>
      </w:r>
      <w:r>
        <w:rPr>
          <w:u w:val="single"/>
        </w:rPr>
        <w:t xml:space="preserve"> </w:t>
      </w:r>
      <w:r>
        <w:rPr>
          <w:u w:val="single"/>
        </w:rPr>
        <w:t xml:space="preserve">INFORMATION ON APPRAISAL DISTRICT NONCOMPLIANCE.  (a)  The commission by rule shall require the department to add a notation of noncompliance in the record of a registered professional appraiser who is serving as chief appraiser for an appraisal district that the department determines under Section 5.102(e), Tax Code, has failed to comply with the comptroller's recommendations following a review of the district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governmental entity may request from the department information on a registered professional appraiser the entity is considering for appointment as chief appraiser of the entity's appraisal district.  The department shall inform the entity of a notation of noncompliance under Subsection (a) if the appraiser during two or more previous reviews under Section 5.102, Tax Code, served as chief appraiser of an appraisal district that the department determined had failed to comply with the comptroller's recommendations under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of Licensing and Regulation shall adopt rules to implement Section 1151.109,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