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916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916</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regarding certain noncompliance by an appraisal district in the Texas Department of Licensing and Regulation records of a professional property tax appraiser serving as chief appraiser for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1151, Occupations Code, is amended by adding Section 1151.109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1151.109.</w:t>
      </w:r>
      <w:r>
        <w:rPr>
          <w:u w:val="single"/>
        </w:rPr>
        <w:t xml:space="preserve"> </w:t>
      </w:r>
      <w:r>
        <w:rPr>
          <w:u w:val="single"/>
        </w:rPr>
        <w:t xml:space="preserve"> </w:t>
      </w:r>
      <w:r>
        <w:rPr>
          <w:u w:val="single"/>
        </w:rPr>
        <w:t xml:space="preserve">INFORMATION ON APPRAISAL DISTRICT REVIEWS.  (a)  The commission by rule shall require the department to include an electronic link to the report on each biennial review conducted by the comptroller under Section 5.102(c), Tax Code, of an appraisal district's performance in the record of the registered professional appraiser who served as chief appraiser for the appraisal district at the time the comptroller finalized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may request from the department the information on a registered professional appraiser whom the board of directors of the appraisal district is considering for appointment as chief appraiser of the appraisal district.  The department shall inform the requestor of the status of any compliance efforts of an appraisal district under Section 5.102(d), Tax Code, during previous reviews in which the appraiser served as chief appraiser of that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rules to implement Section 1151.109,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