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87R4961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920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by and consultation with the Collaborative Task Force on Public School Mental Health Services regarding the task force's duties and requiring the Texas Education Agency to report on mental health services provided to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38.307, Education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t xml:space="preserve">On request of the task force, the agency, a school district, or an open-enrollment charter school shall provide information or other assistance to the task force </w:t>
      </w:r>
      <w:r>
        <w:rPr>
          <w:u w:val="single"/>
        </w:rPr>
        <w:t xml:space="preserve">in accordance with Section 38.3071</w:t>
      </w:r>
      <w:r>
        <w:t xml:space="preserve">.</w:t>
      </w:r>
    </w:p>
    <w:p w:rsidR="003F3435" w:rsidRDefault="0032493E">
      <w:pPr>
        <w:spacing w:line="480" w:lineRule="auto"/>
        <w:ind w:firstLine="720"/>
        <w:jc w:val="both"/>
      </w:pPr>
      <w:r>
        <w:t xml:space="preserve">(e)</w:t>
      </w:r>
      <w:r xml:space="preserve">
        <w:t> </w:t>
      </w:r>
      <w:r xml:space="preserve">
        <w:t> </w:t>
      </w:r>
      <w:r>
        <w:t xml:space="preserve">The agency</w:t>
      </w:r>
      <w:r>
        <w:rPr>
          <w:u w:val="single"/>
        </w:rPr>
        <w:t xml:space="preserve">, on behalf of the task force,</w:t>
      </w:r>
      <w:r>
        <w:t xml:space="preserve"> shall </w:t>
      </w:r>
      <w:r>
        <w:rPr>
          <w:u w:val="single"/>
        </w:rPr>
        <w:t xml:space="preserve">collect data and</w:t>
      </w:r>
      <w:r>
        <w:t xml:space="preserve"> maintain the data [</w:t>
      </w:r>
      <w:r>
        <w:rPr>
          <w:strike/>
        </w:rPr>
        <w:t xml:space="preserve">collected by the task force</w:t>
      </w:r>
      <w:r>
        <w:t xml:space="preserve">] and the work product of the task force in accordance with:</w:t>
      </w:r>
    </w:p>
    <w:p w:rsidR="003F3435" w:rsidRDefault="0032493E">
      <w:pPr>
        <w:spacing w:line="480" w:lineRule="auto"/>
        <w:ind w:firstLine="1440"/>
        <w:jc w:val="both"/>
      </w:pPr>
      <w:r>
        <w:t xml:space="preserve">(1)</w:t>
      </w:r>
      <w:r xml:space="preserve">
        <w:t> </w:t>
      </w:r>
      <w:r xml:space="preserve">
        <w:t> </w:t>
      </w:r>
      <w:r>
        <w:t xml:space="preserve">the agency's information security plan under Section 2054.133, Government Code; and</w:t>
      </w:r>
    </w:p>
    <w:p w:rsidR="003F3435" w:rsidRDefault="0032493E">
      <w:pPr>
        <w:spacing w:line="480" w:lineRule="auto"/>
        <w:ind w:firstLine="1440"/>
        <w:jc w:val="both"/>
      </w:pPr>
      <w:r>
        <w:t xml:space="preserve">(2)</w:t>
      </w:r>
      <w:r xml:space="preserve">
        <w:t> </w:t>
      </w:r>
      <w:r xml:space="preserve">
        <w:t> </w:t>
      </w:r>
      <w:r>
        <w:t xml:space="preserve">the agency's records retention schedule under Section 441.185,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in coordination with the task force, shall establish and maintain an electronic database of mental health services and trainings provided by school districts and open-enrollment charter schools to assist the task force and the institutions of higher education designated under Subsection (b) in evaluating mental health services. The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accessed only by the agency, members of the task force, and the designated institutions of higher education for a purpose described by this subchapter.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38, Education Code, as added by Chapter 1278 (H.B. 906), Acts of the 86th Legislature, Regular Session, 2019, is amended by adding Section 38.3071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38.3071.</w:t>
      </w:r>
      <w:r>
        <w:rPr>
          <w:u w:val="single"/>
        </w:rPr>
        <w:t xml:space="preserve"> </w:t>
      </w:r>
      <w:r>
        <w:rPr>
          <w:u w:val="single"/>
        </w:rPr>
        <w:t xml:space="preserve"> </w:t>
      </w:r>
      <w:r>
        <w:rPr>
          <w:u w:val="single"/>
        </w:rPr>
        <w:t xml:space="preserve">REQUEST FOR AND DISCLOSURE OF INFORMATION.  (a)  To assist the task force in performing duties under this subchapter, the task force, or the agency on behalf of the task force, may request data from or consult with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education service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entities that possess information relevant to the task force's duties under Section 38.308.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requesting data or consulting with entities under Subsection (a), the task force and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disclose a student's medical or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ensure any request or consultation complies with privacy and confidentiality of student information as required by Section 38.309.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business day after the date on which an entity receives a request for data from the task force or agency under Subsection (a), the entity shall provide the requested data to the task force or agency. An entity that provides data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the data without seeking the prior authorization of an individual included in the data or of the individual's parent or guardian, if the individual is a minor.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that discloses data to the task force or agency in accordance with this section is immune from civil or criminal liability for, and may not be subject to an administrative penalty in connection with, that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38.308, Education Code, is amended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w:t>
      </w:r>
      <w:r>
        <w:rPr>
          <w:u w:val="single"/>
        </w:rPr>
        <w:t xml:space="preserve">(a)</w:t>
      </w:r>
      <w:r>
        <w:t xml:space="preserv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individuals who are described by Paragraph (E);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individuals who are described by Paragraph (H);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individuals who are described by Paragraph (I);</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services and trainings provided annually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school districts, at both the campus and district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individuals who were placed in a disciplinary alternative education program or out-of-school suspension or expelled;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threat assessments conducted under Section 37.115;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other relevant topics as determined by the task force;</w:t>
      </w:r>
      <w:r>
        <w:t xml:space="preserv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Section </w:t>
      </w:r>
      <w:r>
        <w:rPr>
          <w:u w:val="single"/>
        </w:rPr>
        <w:t xml:space="preserve">38.351(d),</w:t>
      </w:r>
      <w:r>
        <w:t xml:space="preserve"> [</w:t>
      </w:r>
      <w:r>
        <w:rPr>
          <w:strike/>
        </w:rPr>
        <w:t xml:space="preserve">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consult with relevant experts and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resource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administrators;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nurses;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specialists in school psychology;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licensed professional counselors;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licensed clinical social workers;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non-physician mental health professionals.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consulting with relevant experts and stakeholders under Subsection (b), the task force may not disclose a student's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enter into agreements with institutions of higher education or other relevant entities as needed to execute the duties of the task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38, Education Code, is amended by adding Section 38.354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38.354.</w:t>
      </w:r>
      <w:r>
        <w:rPr>
          <w:u w:val="single"/>
        </w:rPr>
        <w:t xml:space="preserve"> </w:t>
      </w:r>
      <w:r>
        <w:rPr>
          <w:u w:val="single"/>
        </w:rPr>
        <w:t xml:space="preserve"> </w:t>
      </w:r>
      <w:r>
        <w:rPr>
          <w:u w:val="single"/>
        </w:rPr>
        <w:t xml:space="preserve">REPORT ON MENTAL HEALTH SERVICES FOR STUDENTS.  Not later than December 1 of each even-numbered year, the agency shall publish and submit to the legislature a report on mental health services provided to public school students.  The report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services provided to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who received each type of service disaggregated by school district, campus, grade, and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