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87R8284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933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lobbying by former members of the legislature;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572, Government Code, is amended by adding Section 572.062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572.062.</w:t>
      </w:r>
      <w:r>
        <w:rPr>
          <w:u w:val="single"/>
        </w:rPr>
        <w:t xml:space="preserve"> </w:t>
      </w:r>
      <w:r>
        <w:rPr>
          <w:u w:val="single"/>
        </w:rPr>
        <w:t xml:space="preserve"> </w:t>
      </w:r>
      <w:r>
        <w:rPr>
          <w:u w:val="single"/>
        </w:rPr>
        <w:t xml:space="preserve">FORMER LEGISLATOR: LOBBYING RESTRICTED; CRIMINAL OFFENSE.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"Administrative action," "communicates directly with," "legislation," "member of the executive branch," and "member of the legislative branch" have the meanings assigned by Section 305.002.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cycle" means the two-year period beginning on the first day of a regular legislative session and ending on the day before the first day of the succeeding regular legislative session.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former member of the legislature may not engage in activities that require registration under Chapter 305 before the end of the legislative cycle following the legislative cycle in which the former member last served as a member of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to a former member of the legislature who does not receive compensation other than reimbursement for actual expenses for communicating directly with a member of the legislative or executive branch to influence legislation or administrative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former member of the legislature commits an offense if the former member violates this section.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572.062, Government Code, as added by this Act, applies only to a member of the legislature who ceases to be a member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