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941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2021; March</w:t>
      </w:r>
      <w:r xml:space="preserve">
        <w:t> </w:t>
      </w:r>
      <w:r>
        <w:t xml:space="preserve">11,</w:t>
      </w:r>
      <w:r xml:space="preserve">
        <w:t> </w:t>
      </w:r>
      <w:r>
        <w:t xml:space="preserve">2021, read first time and referred to Committee on Transportation; March</w:t>
      </w:r>
      <w:r xml:space="preserve">
        <w:t> </w:t>
      </w:r>
      <w:r>
        <w:t xml:space="preserve">25,</w:t>
      </w:r>
      <w:r xml:space="preserve">
        <w:t> </w:t>
      </w:r>
      <w:r>
        <w:t xml:space="preserve">2021, reported adversely, with favorable Committee Substitute by the following vote:</w:t>
      </w:r>
      <w:r>
        <w:t xml:space="preserve"> </w:t>
      </w:r>
      <w:r>
        <w:t xml:space="preserve"> </w:t>
      </w:r>
      <w:r>
        <w:t xml:space="preserve">Yeas 9, Nays 0; March</w:t>
      </w:r>
      <w:r xml:space="preserve">
        <w:t> </w:t>
      </w:r>
      <w:r>
        <w:t xml:space="preserve">25,</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941</w:t>
      </w:r>
      <w:r xml:space="preserve">
        <w:tab wTab="150" tlc="none" cTlc="0"/>
      </w:r>
      <w:r>
        <w:t xml:space="preserve">By:</w:t>
      </w:r>
      <w:r xml:space="preserve">
        <w:t> </w:t>
      </w:r>
      <w:r xml:space="preserve">
        <w:t> </w:t>
      </w:r>
      <w:r>
        <w:t xml:space="preserve">Seliger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adoption of a state scenic byways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391, Transportation Code, is amended by adding Section 391.256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391.256.</w:t>
      </w:r>
      <w:r>
        <w:rPr>
          <w:u w:val="single"/>
        </w:rPr>
        <w:t xml:space="preserve"> </w:t>
      </w:r>
      <w:r>
        <w:rPr>
          <w:u w:val="single"/>
        </w:rPr>
        <w:t xml:space="preserve"> </w:t>
      </w:r>
      <w:r>
        <w:rPr>
          <w:u w:val="single"/>
        </w:rPr>
        <w:t xml:space="preserve">SCENIC BYWAYS PROGRAM. </w:t>
      </w:r>
      <w:r>
        <w:rPr>
          <w:u w:val="single"/>
        </w:rPr>
        <w:t xml:space="preserve"> </w:t>
      </w:r>
      <w:r>
        <w:rPr>
          <w:u w:val="single"/>
        </w:rPr>
        <w:t xml:space="preserve">(a) </w:t>
      </w:r>
      <w:r>
        <w:rPr>
          <w:u w:val="single"/>
        </w:rPr>
        <w:t xml:space="preserve"> </w:t>
      </w:r>
      <w:r>
        <w:rPr>
          <w:u w:val="single"/>
        </w:rPr>
        <w:t xml:space="preserve">The department shall plan, design, and establish a program for designating highways as State Scenic Byways.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include a process by which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proposals from political subdivisions or other community groups approved by the department for funding projects in accordance with 23 U.S.C. Section 162;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for grants under 23 U.S.C. Section 162 for the projects;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applicant who consents to pay for the costs of the projects that are not covered by grants made under 23 U.S.C. Section 162.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highway must be designated as a State Scenic Byway under the program established by this section before the department applies for a grant under Subsection (b)(2) for a project related to the highway.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use money from the state highway fund to pay for the costs of a project that are not covered by a grant made under 23 U.S.C. Section 162.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only designate a highway described by Section 391.252 as a State Scenic Byway.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by rule shall prohibit outdoor advertising in a manner consistent with 23 U.S.C. Section 131(s) on a State Scenic Byway designated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2021, the Texas Department of Transportation shall establish the program required by Section 391.256, Transportation Code, as added by this Act, and the Texas Transportation Commission shall adopt rules as necessary to implement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