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et al.</w:t>
      </w:r>
      <w:r xml:space="preserve">
        <w:tab wTab="150" tlc="none" cTlc="0"/>
      </w:r>
      <w:r>
        <w:t xml:space="preserve">S.B.</w:t>
      </w:r>
      <w:r xml:space="preserve">
        <w:t> </w:t>
      </w:r>
      <w:r>
        <w:t xml:space="preserve">No.</w:t>
      </w:r>
      <w:r xml:space="preserve">
        <w:t> </w:t>
      </w:r>
      <w:r>
        <w:t xml:space="preserve">952</w:t>
      </w:r>
    </w:p>
    <w:p w:rsidR="003F3435" w:rsidRDefault="0032493E">
      <w:pPr>
        <w:ind w:firstLine="720"/>
        <w:jc w:val="both"/>
      </w:pPr>
      <w:r>
        <w:t xml:space="preserve">(Walle, Reynolds)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plot plan requirements for an application for a standard permit for a concrete batch plant issued by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382.05195, Health and Safety Code, is amended by adding Subsection (k)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application for the issuance of a standard permit under this section for a concrete plant that performs wet batching, dry batching, or central mixing, including a permanent, temporary, or specialty concrete batch plant, as defined by the commission, must include a plot plan that clearly shows: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distance scale;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north arrow;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property lines, emission points, buildings, tanks, and process vessels and other process equipment in the area in which the facility will be located;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least two benchmark locations in the area in which the facility will be located;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permit requires a distance, setback, or buffer from other property or structures as a condition of the permit, whether the required distance or setback will be met.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382.05198,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the issuance of a standard permit under this section must include a plot plan that meets the requirements of Section 382.05195(k).</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application for a standard permit described by Section 382.05195 or 382.05198, Health and Safety Code, that is filed with the Texas Commission on Environmental Quality on or after the effective date of this Act.  An application for a standard permit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