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Alvarado, Zaffirini</w:t>
      </w:r>
      <w:r xml:space="preserve">
        <w:tab wTab="150" tlc="none" cTlc="0"/>
      </w:r>
      <w:r>
        <w:t xml:space="preserve">S.B.</w:t>
      </w:r>
      <w:r xml:space="preserve">
        <w:t> </w:t>
      </w:r>
      <w:r>
        <w:t xml:space="preserve">No.</w:t>
      </w:r>
      <w:r xml:space="preserve">
        <w:t> </w:t>
      </w:r>
      <w:r>
        <w:t xml:space="preserve">952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2021; March</w:t>
      </w:r>
      <w:r xml:space="preserve">
        <w:t> </w:t>
      </w:r>
      <w:r>
        <w:t xml:space="preserve">11,</w:t>
      </w:r>
      <w:r xml:space="preserve">
        <w:t> </w:t>
      </w:r>
      <w:r>
        <w:t xml:space="preserve">2021, read first time and referred to Committee on Natural Resources &amp; Economic Development; April</w:t>
      </w:r>
      <w:r xml:space="preserve">
        <w:t> </w:t>
      </w:r>
      <w:r>
        <w:t xml:space="preserve">12,</w:t>
      </w:r>
      <w:r xml:space="preserve">
        <w:t> </w:t>
      </w:r>
      <w:r>
        <w:t xml:space="preserve">2021, reported favorably by the following vote:</w:t>
      </w:r>
      <w:r>
        <w:t xml:space="preserve"> </w:t>
      </w:r>
      <w:r>
        <w:t xml:space="preserve"> </w:t>
      </w:r>
      <w:r>
        <w:t xml:space="preserve">Yeas 9, Nays 0; April</w:t>
      </w:r>
      <w:r xml:space="preserve">
        <w:t> </w:t>
      </w:r>
      <w:r>
        <w:t xml:space="preserve">12,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plot plan requirements for an application for a standard permit for a concrete batch plant issued by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382.05195, Health and Safety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application for the issuance of a standard permit under this section for a concrete plant that performs wet batching, dry batching, or central mixing, including a permanent, temporary, or specialty concrete batch plant, as defined by the commission, must include a plot plan that clearly shows: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distance scale;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north arrow;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property lines, emission points, buildings, tanks, and process vessels and other process equipment in the area in which the facility will be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least two benchmark locations in the area in which the facility will be located;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permit requires a distance, setback, or buffer from other property or structures as a condition of the permit, whether the required distance or setback will be met.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382.05198,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the issuance of a standard permit under this section must include a plot plan that meets the requirements of Section 382.05195(k).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application for a standard permit described by Section 382.05195 or 382.05198, Health and Safety Code, that is filed with the Texas Commission on Environmental Quality on or after the effective date of this Act.  An application for a standard permit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