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87R4647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measures to support or enhance graduate medical education for the practice of podiatric medicine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58A.001(5), Education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"Graduate medical education program" means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nationally accredited post-doctor of medicine (M.D.) or post-doctor of osteopathic medicine (D.O.) program that prepares physicians for the independent practice of medicine in a specific specialty area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nationally accredited post-doctor of podiatric medicine (D.P.M.) program that prepares podiatrists for independent practice in the specialty area of podiatry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