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87R7108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 requirements for certain personal lines insurers with low market share.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2251.1025; and</w:t>
      </w:r>
    </w:p>
    <w:p w:rsidR="003F3435" w:rsidRDefault="0032493E">
      <w:pPr>
        <w:spacing w:line="480" w:lineRule="auto"/>
        <w:ind w:firstLine="1440"/>
        <w:jc w:val="both"/>
      </w:pPr>
      <w:r>
        <w:t xml:space="preserve">(2)</w:t>
      </w:r>
      <w:r xml:space="preserve">
        <w:t> </w:t>
      </w:r>
      <w:r xml:space="preserve">
        <w:t> </w:t>
      </w:r>
      <w:r>
        <w:t xml:space="preserve">Subchapter F, Chapter 2251.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rate for an insurance policy that is delivered, issued for delivery, or renewed on or after January 1, 2022.  A rate for an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