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87R26385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967</w:t>
      </w:r>
    </w:p>
    <w:p w:rsidR="003F3435" w:rsidRDefault="0032493E">
      <w:pPr>
        <w:ind w:firstLine="720"/>
        <w:jc w:val="both"/>
      </w:pPr>
      <w:r>
        <w:t xml:space="preserve">(Klick)</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967:</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C.S.S.B.</w:t>
      </w:r>
      <w:r xml:space="preserve">
        <w:t> </w:t>
      </w:r>
      <w:r>
        <w:t xml:space="preserve">No.</w:t>
      </w:r>
      <w:r xml:space="preserve">
        <w:t> </w:t>
      </w:r>
      <w:r>
        <w:t xml:space="preserve">967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expiration and extension of certain public health orders issued by a health authority.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121, Health and Safety Code, is amended by adding Section 121.026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121.026.</w:t>
      </w:r>
      <w:r>
        <w:rPr>
          <w:u w:val="single"/>
        </w:rPr>
        <w:t xml:space="preserve"> </w:t>
      </w:r>
      <w:r>
        <w:rPr>
          <w:u w:val="single"/>
        </w:rPr>
        <w:t xml:space="preserve"> </w:t>
      </w:r>
      <w:r>
        <w:rPr>
          <w:u w:val="single"/>
        </w:rPr>
        <w:t xml:space="preserve">EXPIRATION AND EXTENSION OF CERTAIN PUBLIC HEALTH ORDERS ISSUED BY HEALTH AUTHORITY.  (a) </w:t>
      </w:r>
      <w:r>
        <w:rPr>
          <w:u w:val="single"/>
        </w:rPr>
        <w:t xml:space="preserve"> </w:t>
      </w:r>
      <w:r>
        <w:rPr>
          <w:u w:val="single"/>
        </w:rPr>
        <w:t xml:space="preserve">This section applies only to a public health order imposed on more than one individual, animal, place, or object.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public health order issued by a health authority under this chapter or other law expires on the eighth day following the date the order is issued unless, before the eighth day by majority vote: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governing body of a municipality or the commissioners court of a county that appointed the health authority extends the order for a longer period;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health authority is jointly appointed by a municipality and county, the commissioner's court of the county extends the order for a longer period.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121.026, Health and Safety Code, as added by this Act, applies only to a public health order issued by a health authority on or after the effective date of this Act.  A public health order issued by a health authority before the effective date of this Act is governed by the law in effect when the public health order was issued,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967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