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87R23804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984</w:t>
      </w:r>
    </w:p>
    <w:p w:rsidR="003F3435" w:rsidRDefault="0032493E">
      <w:pPr>
        <w:ind w:firstLine="720"/>
        <w:jc w:val="both"/>
      </w:pPr>
      <w:r>
        <w:t xml:space="preserve">(Klick)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984:</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including the operation of the Task Force on Infectious Disease Preparedness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81, Health and Safety Code, is amended by adding Section 81.027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81.027.</w:t>
      </w:r>
      <w:r>
        <w:rPr>
          <w:u w:val="single"/>
        </w:rPr>
        <w:t xml:space="preserve"> </w:t>
      </w:r>
      <w:r>
        <w:rPr>
          <w:u w:val="single"/>
        </w:rPr>
        <w:t xml:space="preserve"> </w:t>
      </w:r>
      <w:r>
        <w:rPr>
          <w:u w:val="single"/>
        </w:rPr>
        <w:t xml:space="preserve">TRAUMA SERVICE AREA REGIONAL ADVISORY COUNCIL DATA COLLECTION AND REPORTING.  (a)  Each trauma service area regional advisory council shall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The executive commissioner by rule shall prescribe the data each council must collect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service area regional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data collected under Subsection (a)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data publicly available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data on the regional advisory council's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regional advisory council does not maintain an Internet website, providing the data in writing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collected or maintained under this section that identifies a patient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governor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t xml:space="preserve">(4)</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t xml:space="preserve">(5)</w:t>
      </w:r>
      <w:r xml:space="preserve">
        <w:t> </w:t>
      </w:r>
      <w:r xml:space="preserve">
        <w:t> </w:t>
      </w:r>
      <w:r>
        <w:t xml:space="preserve">at least one member who is a licensed nurse;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at least one member who is emergency medical services personnel, as defined by Section 773.003</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who is an epidemiologist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task force shall meet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w:t>
      </w:r>
      <w:r>
        <w:rPr>
          <w:u w:val="single"/>
        </w:rPr>
        <w:t xml:space="preserve">least once each year at a location determined by the task force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other</w:t>
      </w:r>
      <w:r>
        <w:t xml:space="preserve"> times and locations as determined by the </w:t>
      </w:r>
      <w:r>
        <w:rPr>
          <w:u w:val="single"/>
        </w:rPr>
        <w:t xml:space="preserve">task force</w:t>
      </w:r>
      <w:r>
        <w:t xml:space="preserve"> director [</w:t>
      </w:r>
      <w:r>
        <w:rPr>
          <w:strike/>
        </w:rPr>
        <w:t xml:space="preserve">of the task force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governor shall appoint the member of the Task Force on Infectious Disease Preparedness and Response as required by Section 81.404(a)(7),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State Health Services or a trauma service area regional advisory council is required to implement Section 81.027, Health and Safety Code, as added by this Act, only if the legislature appropriates money specifically for that purpose.  If the legislature does not appropriate money specifically for that purpose, the department or a trauma service area regional advisory council may, but is not required to, implement Section 81.027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