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w:t>
      </w:r>
      <w:r xml:space="preserve">
        <w:tab wTab="150" tlc="none" cTlc="0"/>
      </w:r>
      <w:r>
        <w:t xml:space="preserve">S.B.</w:t>
      </w:r>
      <w:r xml:space="preserve">
        <w:t> </w:t>
      </w:r>
      <w:r>
        <w:t xml:space="preserve">No.</w:t>
      </w:r>
      <w:r xml:space="preserve">
        <w:t> </w:t>
      </w:r>
      <w:r>
        <w:t xml:space="preserve">997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3,</w:t>
      </w:r>
      <w:r xml:space="preserve">
        <w:t> </w:t>
      </w:r>
      <w:r>
        <w:t xml:space="preserve">2021; March</w:t>
      </w:r>
      <w:r xml:space="preserve">
        <w:t> </w:t>
      </w:r>
      <w:r>
        <w:t xml:space="preserve">18,</w:t>
      </w:r>
      <w:r xml:space="preserve">
        <w:t> </w:t>
      </w:r>
      <w:r>
        <w:t xml:space="preserve">2021, read first time and referred to Committee on Water, Agriculture &amp; Rural Affairs; April</w:t>
      </w:r>
      <w:r xml:space="preserve">
        <w:t> </w:t>
      </w:r>
      <w:r>
        <w:t xml:space="preserve">20,</w:t>
      </w:r>
      <w:r xml:space="preserve">
        <w:t> </w:t>
      </w:r>
      <w:r>
        <w:t xml:space="preserve">2021, reported adversely, with favorable Committee Substitute by the following vote:</w:t>
      </w:r>
      <w:r>
        <w:t xml:space="preserve"> </w:t>
      </w:r>
      <w:r>
        <w:t xml:space="preserve"> </w:t>
      </w:r>
      <w:r>
        <w:t xml:space="preserve">Yeas 8, Nays 0; April</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997</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procedural requirements for the review of a contractual rate charged for the furnishing of raw or treated water or water or sewer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12.013, Water Code, is amended by adding Subsections (g), (h), (i), (j), (k), and (l)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a proceeding under this section or Chapter 11 to review a rate charged under a written contract, the utility commission may not hold a hearing on or otherwise prescribe just and reasonable amounts to be charged under the contract unless the utility commission determines that the amount charged under the contract harms the public interest.  A determination under this subsection becomes final for purposes of appeal in the manner provided by Section 2001.144, Government Code.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party adversely affected by a determination under Subsection (g) may seek judicial review of the determination.  Judicial review of a determination under Subsection (g) shall be by trial de novo.</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utility commission shall abate proceedings on the contract in the event of an appeal under Subsection (h) until the entry of a final judicial determination that a rate charged under the contract harms the public interest.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Chapter 2001, Government Code, applies to an appeal under Subsection (h).</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utility commission shall, before holding a hearing on or otherwise prescribing a just and reasonable rate to be charged under the contract, allow the contracting parties to amend the amount charged under the contract until at least 60 days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a final judicial determination in an appeal under Subsection (h) that a rate charged under the contract harms the public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made under Subsection (g) became final if a motion for rehearing was not filed on time.</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If the parties amend their contract under Subsection (k), none of the parties may challenge before the utility commission the rate paid under the amended contract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fifth anniversary of the date of the contract amendment;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date agreed to by the parties that is after the fifth anniversary of the date of the contract amendment.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13, Water Code, is amended by adding Section 13.0431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13.0431.</w:t>
      </w:r>
      <w:r>
        <w:rPr>
          <w:u w:val="single"/>
        </w:rPr>
        <w:t xml:space="preserve"> </w:t>
      </w:r>
      <w:r>
        <w:rPr>
          <w:u w:val="single"/>
        </w:rPr>
        <w:t xml:space="preserve"> </w:t>
      </w:r>
      <w:r>
        <w:rPr>
          <w:u w:val="single"/>
        </w:rPr>
        <w:t xml:space="preserve">APPEALS BY RETAIL PUBLIC UTILITIES.  (a)  In an appeal under Section 13.043(f) on the amount paid for water or sewer service under a written contract, the utility commission may not hold a hearing on or otherwise prescribe just and reasonable amounts to be charged under the contract unless the utility commission determines that the amount charged under the contract harms the public interest.  A determination under this subsection becomes final for purposes of appeal in the manner provided by Section 2001.144,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party adversely affected by a determination under Subsection (a) may seek judicial review of the determination.  Judicial review of a determination under Subsection (a) shall be by trial de novo.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utility commission shall abate proceedings on the contract in the event of an appeal under Subsection (b) until the entry of a final judicial determination that a rate charged under the contract harms the public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Chapter 2001, Government Code, applies to an appeal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utility commission shall, before holding a hearing on or otherwise prescribing a just and reasonable rate to be charged under the contract, allow the contracting parties to amend the amount charged under the contract until at least 60 days after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 a final judicial determination in an appeal under Subsection (b) that a rate charged under the contract harms the public interest;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made under Subsection (a) became final if a motion for rehearing was not filed on time.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parties amend their contract under Subsection (e), none of the parties may challenge before the utility commission the rate paid under the amended contract before: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fifth anniversary of the date of the contract amendment;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date agreed to by the parties that is after the fifth anniversary of the date of the contract amendment.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rate proceeding under Chapter 11, 12, or 13, Water Code, that begins on or after the effective date of this Act.  A rate proceeding that begins before the effective date of this Act is governed by the law in effect on the date the rate proceeding began,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