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87R10468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the criminal penalty for the operation of overweight vehicles transporting livestock.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623.019, Transportation Code, is amended by amending Subsections (b) and (c) and adding Subsections (i) and (j)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(c)</w:t>
      </w:r>
      <w:r>
        <w:rPr>
          <w:u w:val="single"/>
        </w:rPr>
        <w:t xml:space="preserve">,</w:t>
      </w:r>
      <w:r>
        <w:t xml:space="preserve"> [</w:t>
      </w:r>
      <w:r>
        <w:rPr>
          <w:strike/>
        </w:rPr>
        <w:t xml:space="preserve">and</w:t>
      </w:r>
      <w:r>
        <w:t xml:space="preserve">] (d)</w:t>
      </w:r>
      <w:r>
        <w:rPr>
          <w:u w:val="single"/>
        </w:rPr>
        <w:t xml:space="preserve">, (i), and (j)</w:t>
      </w:r>
      <w:r>
        <w:t xml:space="preserve">, an offense under Subsection (a) is a misdemeanor punishable by a fine of not less than $100 or more than $250.</w:t>
      </w:r>
    </w:p>
    <w:p w:rsidR="003F3435" w:rsidRDefault="0032493E">
      <w:pPr>
        <w:spacing w:line="480" w:lineRule="auto"/>
        <w:ind w:firstLine="720"/>
        <w:jc w:val="both"/>
      </w:pPr>
      <w:r>
        <w:t xml:space="preserve">(c)</w:t>
      </w:r>
      <w:r xml:space="preserve">
        <w:t> </w:t>
      </w:r>
      <w:r xml:space="preserve">
        <w:t> </w:t>
      </w:r>
      <w:r>
        <w:t xml:space="preserve">An offense under Subsection (a) is a misdemeanor and, except as provided by </w:t>
      </w:r>
      <w:r>
        <w:rPr>
          <w:u w:val="single"/>
        </w:rPr>
        <w:t xml:space="preserve">Subsections</w:t>
      </w:r>
      <w:r>
        <w:t xml:space="preserve"> </w:t>
      </w:r>
      <w:r>
        <w:t xml:space="preserve">[</w:t>
      </w:r>
      <w:r>
        <w:rPr>
          <w:strike/>
        </w:rPr>
        <w:t xml:space="preserve">Subsection</w:t>
      </w:r>
      <w:r>
        <w:t xml:space="preserve">] (d) </w:t>
      </w:r>
      <w:r>
        <w:rPr>
          <w:u w:val="single"/>
        </w:rPr>
        <w:t xml:space="preserve">and (i)</w:t>
      </w:r>
      <w:r>
        <w:t xml:space="preserve">, is punishable by a fine according to the following schedules if the offense involves a vehicle:</w:t>
      </w:r>
    </w:p>
    <w:p w:rsidR="003F3435" w:rsidRDefault="0032493E">
      <w:pPr>
        <w:spacing w:line="480" w:lineRule="auto"/>
        <w:ind w:firstLine="1440"/>
        <w:jc w:val="both"/>
      </w:pPr>
      <w:r>
        <w:t xml:space="preserve">(1)</w:t>
      </w:r>
      <w:r xml:space="preserve">
        <w:t> </w:t>
      </w:r>
      <w:r xml:space="preserve">
        <w:t> </w:t>
      </w:r>
      <w:r>
        <w:t xml:space="preserve">having a single axle weight or tandem axle weight that is heavier than the vehicle's allowable weight:</w:t>
      </w:r>
    </w:p>
    <w:tbl>
      <w:tr>
        <w:tc>
          <w:p/>
        </w:tc>
        <w:tc>
          <w:p>
            <w:r>
              <w:t xml:space="preserve">Pounds Overweight</w:t>
            </w:r>
          </w:p>
        </w:tc>
        <w:tc>
          <w:p>
            <w:r>
              <w:t xml:space="preserve">Fine Range</w:t>
            </w:r>
          </w:p>
        </w:tc>
      </w:tr>
      <w:tr>
        <w:tc>
          <w:p/>
        </w:tc>
        <w:tc>
          <w:p>
            <w:r>
              <w:t xml:space="preserve">less than 2,500</w:t>
            </w:r>
          </w:p>
        </w:tc>
        <w:tc>
          <w:p>
            <w:r>
              <w:t xml:space="preserve">$100 to $500</w:t>
            </w:r>
          </w:p>
        </w:tc>
      </w:tr>
      <w:tr>
        <w:tc>
          <w:p/>
        </w:tc>
        <w:tc>
          <w:p>
            <w:r>
              <w:t xml:space="preserve">2,500-5,000</w:t>
            </w:r>
          </w:p>
        </w:tc>
        <w:tc>
          <w:p>
            <w:r>
              <w:t xml:space="preserve">$500 to $1,000</w:t>
            </w:r>
          </w:p>
        </w:tc>
      </w:tr>
      <w:tr>
        <w:tc>
          <w:p/>
        </w:tc>
        <w:tc>
          <w:p>
            <w:r>
              <w:t xml:space="preserve">more than 5,000</w:t>
            </w:r>
          </w:p>
        </w:tc>
        <w:tc>
          <w:p>
            <w:r>
              <w:t xml:space="preserve">$1,000 to $2,500; or</w:t>
            </w:r>
          </w:p>
        </w:tc>
      </w:tr>
    </w:tbl>
    <w:p w:rsidR="003F3435" w:rsidRDefault="0032493E">
      <w:pPr>
        <w:spacing w:line="480" w:lineRule="auto"/>
        <w:ind w:firstLine="1440"/>
        <w:jc w:val="both"/>
      </w:pPr>
      <w:r>
        <w:t xml:space="preserve">(2)</w:t>
      </w:r>
      <w:r xml:space="preserve">
        <w:t> </w:t>
      </w:r>
      <w:r xml:space="preserve">
        <w:t> </w:t>
      </w:r>
      <w:r>
        <w:t xml:space="preserve">having a gross weight that is heavier than the vehicle's allowable gross weight:</w:t>
      </w:r>
    </w:p>
    <w:tbl>
      <w:tr>
        <w:tc>
          <w:p/>
        </w:tc>
        <w:tc>
          <w:p>
            <w:r>
              <w:t xml:space="preserve">Pounds Overweight</w:t>
            </w:r>
          </w:p>
        </w:tc>
        <w:tc>
          <w:p>
            <w:r>
              <w:t xml:space="preserve">Fine Range</w:t>
            </w:r>
          </w:p>
        </w:tc>
      </w:tr>
      <w:tr>
        <w:tc>
          <w:p/>
        </w:tc>
        <w:tc>
          <w:p>
            <w:r>
              <w:t xml:space="preserve">less than 2,500</w:t>
            </w:r>
          </w:p>
        </w:tc>
        <w:tc>
          <w:p>
            <w:r>
              <w:t xml:space="preserve">$100 to $500</w:t>
            </w:r>
          </w:p>
        </w:tc>
      </w:tr>
      <w:tr>
        <w:tc>
          <w:p/>
        </w:tc>
        <w:tc>
          <w:p>
            <w:r>
              <w:t xml:space="preserve">2,500-5,000</w:t>
            </w:r>
          </w:p>
        </w:tc>
        <w:tc>
          <w:p>
            <w:r>
              <w:t xml:space="preserve">$500 to $1,000</w:t>
            </w:r>
          </w:p>
        </w:tc>
      </w:tr>
      <w:tr>
        <w:tc>
          <w:p/>
        </w:tc>
        <w:tc>
          <w:p>
            <w:r>
              <w:t xml:space="preserve">5,001-10,000</w:t>
            </w:r>
          </w:p>
        </w:tc>
        <w:tc>
          <w:p>
            <w:r>
              <w:t xml:space="preserve">$1,000 to $2,500</w:t>
            </w:r>
          </w:p>
        </w:tc>
      </w:tr>
      <w:tr>
        <w:tc>
          <w:p/>
        </w:tc>
        <w:tc>
          <w:p>
            <w:r>
              <w:t xml:space="preserve">10,001-20,000</w:t>
            </w:r>
          </w:p>
        </w:tc>
        <w:tc>
          <w:p>
            <w:r>
              <w:t xml:space="preserve">$2,500 to $5,000</w:t>
            </w:r>
          </w:p>
        </w:tc>
      </w:tr>
      <w:tr>
        <w:tc>
          <w:p/>
        </w:tc>
        <w:tc>
          <w:p>
            <w:r>
              <w:t xml:space="preserve">20,001-40,000</w:t>
            </w:r>
          </w:p>
        </w:tc>
        <w:tc>
          <w:p>
            <w:r>
              <w:t xml:space="preserve">$5,000 to $7,000</w:t>
            </w:r>
          </w:p>
        </w:tc>
      </w:tr>
      <w:tr>
        <w:tc>
          <w:p/>
        </w:tc>
        <w:tc>
          <w:p>
            <w:r>
              <w:t xml:space="preserve">more than 40,000</w:t>
            </w:r>
          </w:p>
        </w:tc>
        <w:tc>
          <w:p>
            <w:r>
              <w:t xml:space="preserve">$7,000 to $10,000</w:t>
            </w:r>
          </w:p>
        </w:tc>
      </w:tr>
    </w:tbl>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offense under Subsection (a) is a misdemeanor punishable by a fine in an amount not to exceed 50 percent of the fine assessed under Subsection (c) if the offense involves a vehicle originally loaded: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proportionally over the axles;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primarily with livestock;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miles or more from an international border crossing.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it is shown on the trial of an offense under Subsection (a) that the defendant has previously been convicted one or more times of an offense punishable under Subsection (i), the offense is punishable by,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according to the schedules as provided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fine calculated in the manner described by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