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1009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county primary funds.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xml:space="preserve">
        <w:t> </w:t>
      </w:r>
      <w:r xml:space="preserve">
        <w:t> </w:t>
      </w:r>
      <w:r>
        <w:t xml:space="preserve">Section 173.034 (a),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county chair shall manage the county primary fund. </w:t>
      </w:r>
      <w:r>
        <w:rPr>
          <w:u w:val="single"/>
        </w:rPr>
        <w:t xml:space="preserve">The county chair shall maintain the county primary fund separately from other funds managed by the political party.</w:t>
      </w:r>
    </w:p>
    <w:p w:rsidR="003F3435" w:rsidRDefault="0032493E">
      <w:pPr>
        <w:spacing w:line="480" w:lineRule="auto"/>
        <w:ind w:firstLine="720"/>
        <w:jc w:val="both"/>
      </w:pPr>
      <w:r>
        <w:t xml:space="preserve">SECTION</w:t>
      </w:r>
      <w:r xml:space="preserve">
        <w:t> </w:t>
      </w:r>
      <w:r>
        <w:t xml:space="preserve">2.</w:t>
      </w:r>
      <w:r xml:space="preserve">
        <w:t> </w:t>
      </w:r>
      <w:r xml:space="preserve">
        <w:t> </w:t>
      </w:r>
      <w:r>
        <w:t xml:space="preserve">Subchapter B, Chapter 173, Election Code, is amended by adding Section 173.0342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173.0342.</w:t>
      </w:r>
      <w:r>
        <w:rPr>
          <w:u w:val="single"/>
        </w:rPr>
        <w:t xml:space="preserve"> </w:t>
      </w:r>
      <w:r>
        <w:rPr>
          <w:u w:val="single"/>
        </w:rPr>
        <w:t xml:space="preserve"> </w:t>
      </w:r>
      <w:r>
        <w:rPr>
          <w:u w:val="single"/>
        </w:rPr>
        <w:t xml:space="preserve">REQUIRED AFFIDAVIT FOR COUNTY CHAIR.  A county chair who manages a county primary fund shall execute and submit an affidavit to the secretary of state stating that the chair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deposit money in the fund and use money in the fund only in accordance with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the fund separately from other funds managed by the political party;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comingle money in the fund with other money managed by the political party or its officers.</w:t>
      </w:r>
    </w:p>
    <w:p w:rsidR="003F3435" w:rsidRDefault="0032493E">
      <w:pPr>
        <w:spacing w:line="480" w:lineRule="auto"/>
        <w:ind w:firstLine="720"/>
        <w:jc w:val="both"/>
      </w:pPr>
      <w:r>
        <w:t xml:space="preserve">SECTION</w:t>
      </w:r>
      <w:r xml:space="preserve">
        <w:t> </w:t>
      </w:r>
      <w:r>
        <w:t xml:space="preserve">3.</w:t>
      </w:r>
      <w:r xml:space="preserve">
        <w:t> </w:t>
      </w:r>
      <w:r xml:space="preserve">
        <w:t> </w:t>
      </w:r>
      <w:r>
        <w:t xml:space="preserve">The secretary of state shall conduct the initial audits required under Section 173.035(a), Election Code, as amended by this Act, not later than December 31, 2022.  The secretary shall designate approximately 10 percent of county primary funds as subject to the initial round of audits and designate 10 percent of the remaining funds as subject to each of the subsequent nine rounds of audits.</w:t>
      </w:r>
    </w:p>
    <w:p w:rsidR="003F3435" w:rsidRDefault="0032493E">
      <w:pPr>
        <w:spacing w:line="480" w:lineRule="auto"/>
        <w:ind w:firstLine="720"/>
        <w:jc w:val="both"/>
      </w:pPr>
      <w:r>
        <w:t xml:space="preserve">SECTION</w:t>
      </w:r>
      <w:r xml:space="preserve">
        <w:t> </w:t>
      </w:r>
      <w:r>
        <w:t xml:space="preserve">4.</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