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87R7733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vacated protective order from the protective order registry maintained by the Office of Court Administration of the Texas Judicial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72.154(b),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 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For a protective order [</w:t>
      </w:r>
      <w:r>
        <w:rPr>
          <w:strike/>
        </w:rPr>
        <w:t xml:space="preserve">that is vacated or</w:t>
      </w:r>
      <w:r>
        <w:t xml:space="preserve">] that has expired, the clerk of the applicable court shall modify the record of the order in the registry to reflect the order's status as [</w:t>
      </w:r>
      <w:r>
        <w:rPr>
          <w:strike/>
        </w:rPr>
        <w:t xml:space="preserve">vacated or</w:t>
      </w:r>
      <w:r>
        <w:t xml:space="preserve">] expired.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the clerk of the applicable court shall remove the record of the order from the registry.</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Office of Court Administration of the Texas Judicial System shall remove the record of any protective orders that have been vacated from the protective order registry established under Subchapter F, Chapter 72,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