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87R4823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requirements imposed by Subsection (a), the officially prescribed application form for an early voting ballot must include a space for the voter to provide a change of residence address within the county, if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notice of a defect under Section 87.0271(b) or 87.0411(b)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includes a change of address within the county, the early voting clerk shall notify the voter registrar of the change and the registrar shall update the voter's registration accordingly.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clerk is not required to provide a form for a statement of residence to a voter who indicated a change of address within the county on the voter's application for an early voting ballot to be voted by mail.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87.027, the signature verification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signature verification committee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signature verification committee takes an action described by Subsection (b), the committee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timely delivered ballot under Section 87.041, the early voting ballot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carrier envelope to the voter by mail, if the early voting ballot board determines that it would be possible to correct the defect and return the carrier envelope before the time the polls are required to close on election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voter of the defect by telephone or e-mail and inform the voter that the voter may come to the early voting clerk's office in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the defect;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early voting ballot board takes an action described by Subsection (b), the board must take either action described by that subsection with respect to each ballot in the election to which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an action taken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