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Gutierrez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1022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4,</w:t>
      </w:r>
      <w:r xml:space="preserve">
        <w:t> </w:t>
      </w:r>
      <w:r>
        <w:t xml:space="preserve">2021;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2021, read first time and referred to Committee on Water, Agriculture &amp; Rural Affairs;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8,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appeal of rates charged for water or sewer service by certain retail public utilities.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13.043(j),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In an appeal under this section, the utility commission shall ensure that every </w:t>
      </w:r>
      <w:r>
        <w:rPr>
          <w:u w:val="single"/>
        </w:rPr>
        <w:t xml:space="preserve">appealed</w:t>
      </w:r>
      <w:r>
        <w:t xml:space="preserve"> rate </w:t>
      </w:r>
      <w:r>
        <w:rPr>
          <w:u w:val="single"/>
        </w:rPr>
        <w:t xml:space="preserve">is</w:t>
      </w:r>
      <w:r>
        <w:t xml:space="preserve"> [</w:t>
      </w:r>
      <w:r>
        <w:rPr>
          <w:strike/>
        </w:rPr>
        <w:t xml:space="preserve">made, demanded, or received by any retail public utility or by any two or more retail public utilities jointly shall be</w:t>
      </w:r>
      <w:r>
        <w:t xml:space="preserve">] just and reasonable. </w:t>
      </w:r>
      <w:r>
        <w:t xml:space="preserve"> </w:t>
      </w:r>
      <w:r>
        <w:t xml:space="preserve">Rates shall not be unreasonably preferential, prejudicial, or discriminatory but shall be sufficient, equitable, and consistent in application to each class of customers. </w:t>
      </w:r>
      <w:r>
        <w:t xml:space="preserve"> </w:t>
      </w:r>
      <w:r>
        <w:t xml:space="preserve">The utility commission shall use a methodology that preserves the financial integrity of the retail public utility. </w:t>
      </w:r>
      <w:r>
        <w:t xml:space="preserve"> </w:t>
      </w:r>
      <w:r>
        <w:t xml:space="preserve">For agreements between municipalities the utility commission shall consider the terms of any wholesale water or sewer service agreement in an appellate rate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