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87R6847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governmental entity to impose a regulation governing the use of building products, materials, or methods that relates to water conservation.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3000.002(c),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program established by a state agency that requires particular standards, incentives, or financing arrangements in order to comply with requirements of a state or federal funding source or housing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requirement for a building necessary to consider the building eligible for windstorm and hail insurance coverage under Chapter 2210, Insurance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ordinance or other regulation that regulates outdoor lighting that is adopted for the purpose of reducing light pollution and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adopted by a governmental entity that is certified as a Dark Sky Community by the International Dark-Sky Association as part of the International Dark Sky Places Program;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applies to outdoor lighting within five miles of the boundary of a military base in which an active training program is conducted;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ordinance or order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regulates outdoor lighting;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adopted under Subchapter B, Chapter 229, Local Government Code, or Subchapter B, Chapter 240, Local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building located in a place or area designated for its historical, cultural, or architectural importance and significance that a municipality may regulate under Section 211.003(b), Local Government Code, if the municipality: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 certified local government under the National Historic Preservation Act (54 U.S.C. Section 300101 et seq.);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an applicable landmark ordinance that meets the requirements under the certified local government program as determined by the Texas Historical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building located in a place or area designated for its historical, cultural, or architectural importance and significance by a governmental entity, if designated before April 1, 2019;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building located in an area designated as a historic district on the National Register of Historic Places;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building designated as a Recorded Texas Historic Landmark;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building designated as a State Archeological Landmark or State Antiquities Landmark;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building listed on the National Register of Historic Places or designated as a landmark by a governmental entity;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building located in a World Heritage Buffer Zone;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 building located in an area designated for development, restoration, or preservation in a main street city under the main street program established under Section 442.014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product, material, or standard required by an ordinance or other regulation implementing a water conservation plan or program described by Section 11.1271 or 13.146, Water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requirement imposed by the Texas Water Development Board as a condition of applying for or receiving financial assistance under a program administered by the board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