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87R8638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purchasing standards for state agencies and institutions of higher education, including standards for contracting with historically underutilized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2155.074(b),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the most important considerations.  However, the comptroller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t xml:space="preserve">installation costs;</w:t>
      </w:r>
    </w:p>
    <w:p w:rsidR="003F3435" w:rsidRDefault="0032493E">
      <w:pPr>
        <w:spacing w:line="480" w:lineRule="auto"/>
        <w:ind w:firstLine="1440"/>
        <w:jc w:val="both"/>
      </w:pPr>
      <w:r>
        <w:t xml:space="preserve">(2)</w:t>
      </w:r>
      <w:r xml:space="preserve">
        <w:t> </w:t>
      </w:r>
      <w:r xml:space="preserve">
        <w:t> </w:t>
      </w:r>
      <w:r>
        <w:t xml:space="preserve">life cycle costs;</w:t>
      </w:r>
    </w:p>
    <w:p w:rsidR="003F3435" w:rsidRDefault="0032493E">
      <w:pPr>
        <w:spacing w:line="480" w:lineRule="auto"/>
        <w:ind w:firstLine="1440"/>
        <w:jc w:val="both"/>
      </w:pPr>
      <w:r>
        <w:t xml:space="preserve">(3)</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(4)</w:t>
      </w:r>
      <w:r xml:space="preserve">
        <w:t> </w:t>
      </w:r>
      <w:r xml:space="preserve">
        <w:t> </w:t>
      </w:r>
      <w:r>
        <w:t xml:space="preserve">the delivery terms;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t xml:space="preserve">the cost of any employee training associated with a purchase;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any effort beyond the minimally required good faith effort to include historically underutilized businesses in the contract; and</w:t>
      </w:r>
    </w:p>
    <w:p w:rsidR="003F3435" w:rsidRDefault="0032493E">
      <w:pPr>
        <w:spacing w:line="480" w:lineRule="auto"/>
        <w:ind w:firstLine="1440"/>
        <w:jc w:val="both"/>
      </w:pPr>
      <w:r>
        <w:rPr>
          <w:u w:val="single"/>
        </w:rPr>
        <w:t xml:space="preserve">(10)</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2161.065,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Participation in the program may be used as a component of an outreach plan to promote inclusivity of historically underutilized businesses beyond the minimally required good faith effort.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51.9335(b),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determining what is the best value to an institution of higher education, the institution shall consider:</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reputation of the vendor and of the vendor's goods or services;</w:t>
      </w:r>
    </w:p>
    <w:p w:rsidR="003F3435" w:rsidRDefault="0032493E">
      <w:pPr>
        <w:spacing w:line="480" w:lineRule="auto"/>
        <w:ind w:firstLine="1440"/>
        <w:jc w:val="both"/>
      </w:pPr>
      <w:r>
        <w:t xml:space="preserve">(3)</w:t>
      </w:r>
      <w:r xml:space="preserve">
        <w:t> </w:t>
      </w:r>
      <w:r xml:space="preserve">
        <w:t> </w:t>
      </w:r>
      <w:r>
        <w:t xml:space="preserve">the quality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institution's needs;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vendor's past relationship with the institution;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impact on the ability of the institution to comply with laws and rules relating to historically underutilized businesses and to the procurement of goods and services from persons with disabilities;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effort beyond the minimally required good faith effort to include historically underutilized businesses in the contract;</w:t>
      </w:r>
    </w:p>
    <w:p w:rsidR="003F3435" w:rsidRDefault="0032493E">
      <w:pPr>
        <w:spacing w:line="480" w:lineRule="auto"/>
        <w:ind w:firstLine="1440"/>
        <w:jc w:val="both"/>
      </w:pPr>
      <w:r>
        <w:t xml:space="preserve">(7)</w:t>
      </w:r>
      <w:r xml:space="preserve">
        <w:t> </w:t>
      </w:r>
      <w:r xml:space="preserve">
        <w:t> </w:t>
      </w:r>
      <w:r>
        <w:t xml:space="preserve">the total long-term cost to the institution of acquiring the vendor's goods or services;</w:t>
      </w:r>
    </w:p>
    <w:p w:rsidR="003F3435" w:rsidRDefault="0032493E">
      <w:pPr>
        <w:spacing w:line="480" w:lineRule="auto"/>
        <w:ind w:firstLine="1440"/>
        <w:jc w:val="both"/>
      </w:pPr>
      <w:r>
        <w:t xml:space="preserve">(8)</w:t>
      </w:r>
      <w:r xml:space="preserve">
        <w:t> </w:t>
      </w:r>
      <w:r xml:space="preserve">
        <w:t> </w:t>
      </w:r>
      <w:r>
        <w:t xml:space="preserve">any other relevant factor that a private business entity would consider in selecting a vendor; and</w:t>
      </w:r>
    </w:p>
    <w:p w:rsidR="003F3435" w:rsidRDefault="0032493E">
      <w:pPr>
        <w:spacing w:line="480" w:lineRule="auto"/>
        <w:ind w:firstLine="1440"/>
        <w:jc w:val="both"/>
      </w:pPr>
      <w:r>
        <w:t xml:space="preserve">(9)</w:t>
      </w:r>
      <w:r xml:space="preserve">
        <w:t> </w:t>
      </w:r>
      <w:r xml:space="preserve">
        <w:t> </w:t>
      </w:r>
      <w:r>
        <w:t xml:space="preserve">the use of material in construction or repair to real property that is not proprietary to a single vendor unless the institution provides written justification in the request for bids for use of the unique material specified.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