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87R8974 SLB-F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information a payor of the proceeds of production from an oil and gas well is required to provide a payee.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J, Chapter 91, Natural Resources Code, is amended by adding Sections 91.409 and 91.410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91.409.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REQUESTED BY PAYEE.  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to a payee who is requested by a payor to sign: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ratification of a lease, pooling agreement, or unit designation;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division 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written request by a payee to whom this section applies, the payor must provide the payee with a copy of the document to be ratified or the lease underlying the division order, as appropriate. </w:t>
      </w:r>
      <w:r>
        <w:rPr>
          <w:u w:val="single"/>
        </w:rPr>
        <w:t xml:space="preserve"> </w:t>
      </w:r>
      <w:r>
        <w:rPr>
          <w:u w:val="single"/>
        </w:rPr>
        <w:t xml:space="preserve">The payor must respond to the request not later than the 14th day after the date on which the request was received by the payor.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failure of a payor to respond to a request described by Subsection (b) releases the obligation of the payee to sign the ratification or division order, as appropriate.  A payee who is not obligated to sign a division order under this subsection is entitled to payment notwithstanding Section 91.402(c)(1).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91.410.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INFORMATION IN PAYOR REQUEST.  A payor's request that a payee ratify a lease, pooling agreement, or unit designation, or sign a division order, must include a statement that describes the payee's rights under Section 91.409.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