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1048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sanitarian recruitment and retention program in border counties for public health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121, Health and Safety Code, is amended by adding Section 121.0055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121.0055.</w:t>
      </w:r>
      <w:r>
        <w:rPr>
          <w:u w:val="single"/>
        </w:rPr>
        <w:t xml:space="preserve"> </w:t>
      </w:r>
      <w:r>
        <w:rPr>
          <w:u w:val="single"/>
        </w:rPr>
        <w:t xml:space="preserve"> </w:t>
      </w:r>
      <w:r>
        <w:rPr>
          <w:u w:val="single"/>
        </w:rPr>
        <w:t xml:space="preserve">SANITARIAN RECRUITMENT AND RETENTION PROGRAM IN BORDER COUNTIES.  (a) </w:t>
      </w:r>
      <w:r>
        <w:rPr>
          <w:u w:val="single"/>
        </w:rPr>
        <w:t xml:space="preserve"> </w:t>
      </w:r>
      <w:r>
        <w:rPr>
          <w:u w:val="single"/>
        </w:rPr>
        <w:t xml:space="preserve">This section applies only to a local health unit, local health department, or public health district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 county adjacent to the international border with Mexico;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affiliated with the department under Section 121.005.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money is available, the department shall establish a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grants to local health units, local health departments, and public health districts to improve recruitment and retention of sanitarians registered under Chapter 1953,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 opportunities for training and registration of sanitarians to improve disease response and prevent foodborne, waterborne, vector-borne, and zoonotic diseases.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administer the grant program in coordination with local health units, local health departments, public health districts, and appropriate state agencies, federal agencies, nonprofit organizations, public and private hospitals, institutions of higher education, and other private entities.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award a grant under Subsection (b) only in accordance with a contract between the department and the grant recipient.  The contract must include provisions affording the department sufficient control to ensure the public purpose of improved public health is accomplished and this state receives a return benefit from the grant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solicit and accept gifts, grants, and donations to operate the grant program.  The department shall coordinate with appropriate state agencies, federal agencies, nonprofit organizations, public and private hospitals, institutions of higher education, and other private entities in identifying and soliciting funding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