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1055</w:t>
      </w:r>
    </w:p>
    <w:p w:rsidR="003F3435" w:rsidRDefault="0032493E">
      <w:pPr>
        <w:ind w:firstLine="720"/>
        <w:jc w:val="both"/>
      </w:pPr>
      <w:r>
        <w:t xml:space="preserve">(Reynolds)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motor vehicle accidents involving a pedestrian or other vulnerable road user within the area of a crosswalk;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known as the Lisa Torry Smith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MOTOR VEHICLE ACCIDENT INVOLVING PEDESTRIAN OR OTHER VULNERABLE ROAD USER WITHIN AREA OF CROSSWALK; OFFENSE.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"Electric personal assistive mobility device" has the meaning assigned by Section 551.201.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"Golf cart" has the meaning assigned by Section 551.401.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"Motor-assisted scooter" has the meaning assigned by Section 551.351.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"Neighborhood electric vehicle" has the meaning assigned by Section 551.301.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with criminal negligence: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motor vehicle within the area of a crosswalk;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bodily injury to a pedestrian or a person operating a bicycle, motor-assisted scooter, electronic personal assistive mobility device, neighborhood electric vehicle, or golf cart.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misdemeanor, except that the offense is a state jail felony if the person described by Subsection (b)(2) suffered serious bodily injury.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affirmative defense to prosecution under this section that, at the time of the offense, the person described by Subsection (b)(2) was violating a provision of this subtitle relating to walking, movement, or operation in a crosswalk or on a roadway.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that constitutes an offense under this section also constitutes an offense under any other law, the actor may be prosecuted under this section, the other law, or both.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