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criminal liability for reporting false information to draw an emergency response;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 Penal Code, is amended by adding Section 42.0601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42.0601.</w:t>
      </w:r>
      <w:r>
        <w:rPr>
          <w:u w:val="single"/>
        </w:rPr>
        <w:t xml:space="preserve"> </w:t>
      </w:r>
      <w:r>
        <w:rPr>
          <w:u w:val="single"/>
        </w:rPr>
        <w:t xml:space="preserve"> </w:t>
      </w:r>
      <w:r>
        <w:rPr>
          <w:u w:val="single"/>
        </w:rPr>
        <w:t xml:space="preserve">FALSE REPORT TO INDUCE EMERGENCY RESPONSE.  (a) </w:t>
      </w:r>
      <w:r>
        <w:rPr>
          <w:u w:val="single"/>
        </w:rPr>
        <w:t xml:space="preserve"> </w:t>
      </w:r>
      <w:r>
        <w:rPr>
          <w:u w:val="single"/>
        </w:rPr>
        <w:t xml:space="preserve">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makes a report of a criminal offense or an emergency or causes a report of a criminal offense or an emergency to be made to a peace officer, law enforcement agency, 9-1-1 service as defined by Section 771.001, Health and Safety Code, official or volunteer agency organized to deal with emergencies, or any other governmental employee or contractor who is authorized to receive reports of a criminal offense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knows that the report is false;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report causes an emergency response from a law enforcement agency or other emergency responder;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making the report or causing the report to be made, the person is reckless with regard to whether the emergency response by a law enforcement agency or other emergency responder may directly result in bodily injury to 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it is shown on the trial of the offense that the defendant has previously been convicted two or more times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false report was of a criminal offense to which a law enforcement agency or other emergency responder responded;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suffered serious bodily injury or death as a direct result of lawful conduct arising out of that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in any manner to conflict with 47 U.S.C. Section 230 or 42 U.S.C. Section 1983.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13.40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13.40.</w:t>
      </w:r>
      <w:r>
        <w:rPr>
          <w:u w:val="single"/>
        </w:rPr>
        <w:t xml:space="preserve"> </w:t>
      </w:r>
      <w:r>
        <w:rPr>
          <w:u w:val="single"/>
        </w:rPr>
        <w:t xml:space="preserve"> </w:t>
      </w:r>
      <w:r>
        <w:rPr>
          <w:u w:val="single"/>
        </w:rPr>
        <w:t xml:space="preserve">FALSE REPORT TO INDUCE EMERGENCY RESPONSE.  An offense under Section 42.0601, Penal Code, may be prosecuted in any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false report was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 other emergency responder responded to the false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42.014(a),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the trial of an offense under Title 5, Penal Code, or Section 28.02, 28.03, [</w:t>
      </w:r>
      <w:r>
        <w:rPr>
          <w:strike/>
        </w:rPr>
        <w:t xml:space="preserve">or</w:t>
      </w:r>
      <w:r>
        <w:t xml:space="preserve">] 28.08, </w:t>
      </w:r>
      <w:r>
        <w:rPr>
          <w:u w:val="single"/>
        </w:rPr>
        <w:t xml:space="preserve">or 42.0601,</w:t>
      </w:r>
      <w:r>
        <w:t xml:space="preserve">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or sexual preference or by status as a peace officer or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42.037, Code of Criminal Procedure, is amended by adding Subsection (w) to read as follows:</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If a defendant is convicted of an offense under Section 42.0601, Penal Code, the court may order the defendant to make restitution to an entity for the reasonable costs of the emergency response by that entity resulting from the false report.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that violates Section 42.0601, Penal Code, if the child has not previously been adjudicated as having engaged in conduct violating that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1056 passed the Senate on April</w:t>
      </w:r>
      <w:r xml:space="preserve">
        <w:t> </w:t>
      </w:r>
      <w:r>
        <w:t xml:space="preserve">19,</w:t>
      </w:r>
      <w:r xml:space="preserve">
        <w:t> </w:t>
      </w:r>
      <w:r>
        <w:t xml:space="preserve">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1056 passed the House, with amendment, on May 11, 2021, by the following vote:  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